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86B04A" w14:textId="2507D495" w:rsidR="00AD1E81" w:rsidRPr="00AD1E81" w:rsidRDefault="00AD1E81" w:rsidP="00AD1E81">
      <w:pPr>
        <w:spacing w:before="100" w:beforeAutospacing="1" w:after="100" w:afterAutospacing="1" w:line="240" w:lineRule="auto"/>
        <w:jc w:val="center"/>
        <w:outlineLvl w:val="0"/>
        <w:rPr>
          <w:rFonts w:ascii="Times New Roman" w:eastAsia="Times New Roman" w:hAnsi="Times New Roman" w:cs="Times New Roman"/>
          <w:b/>
          <w:bCs/>
          <w:kern w:val="36"/>
          <w:sz w:val="28"/>
          <w:szCs w:val="28"/>
          <w14:ligatures w14:val="none"/>
        </w:rPr>
      </w:pPr>
      <w:r w:rsidRPr="00AD1E81">
        <w:rPr>
          <w:rFonts w:ascii="Times New Roman" w:eastAsia="Times New Roman" w:hAnsi="Times New Roman" w:cs="Times New Roman"/>
          <w:b/>
          <w:bCs/>
          <w:kern w:val="36"/>
          <w:sz w:val="28"/>
          <w:szCs w:val="28"/>
          <w14:ligatures w14:val="none"/>
        </w:rPr>
        <w:t xml:space="preserve">Detailed Report of the </w:t>
      </w:r>
      <w:r w:rsidR="005B7068" w:rsidRPr="00857648">
        <w:rPr>
          <w:rFonts w:ascii="Times New Roman" w:eastAsia="Times New Roman" w:hAnsi="Times New Roman" w:cs="Times New Roman"/>
          <w:b/>
          <w:bCs/>
          <w:kern w:val="36"/>
          <w:sz w:val="28"/>
          <w:szCs w:val="28"/>
          <w14:ligatures w14:val="none"/>
        </w:rPr>
        <w:t>National Seminar</w:t>
      </w:r>
      <w:r w:rsidRPr="00AD1E81">
        <w:rPr>
          <w:rFonts w:ascii="Times New Roman" w:eastAsia="Times New Roman" w:hAnsi="Times New Roman" w:cs="Times New Roman"/>
          <w:b/>
          <w:bCs/>
          <w:kern w:val="36"/>
          <w:sz w:val="28"/>
          <w:szCs w:val="28"/>
          <w14:ligatures w14:val="none"/>
        </w:rPr>
        <w:t xml:space="preserve"> Workshop on the Investment Plan for the Emission Reduction Program (ERP)</w:t>
      </w:r>
    </w:p>
    <w:p w14:paraId="0E25C993" w14:textId="690812FC" w:rsidR="00AD1E81" w:rsidRPr="00AD1E81" w:rsidRDefault="00AD1E81" w:rsidP="00AD1E81">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b/>
          <w:bCs/>
          <w:kern w:val="0"/>
          <w:sz w:val="28"/>
          <w:szCs w:val="28"/>
          <w14:ligatures w14:val="none"/>
        </w:rPr>
        <w:t xml:space="preserve">Jointly Organized by the REDD Implementation Centre (REDD IC) </w:t>
      </w:r>
      <w:r w:rsidR="0011245F" w:rsidRPr="00857648">
        <w:rPr>
          <w:rFonts w:ascii="Times New Roman" w:eastAsia="Times New Roman" w:hAnsi="Times New Roman" w:cs="Times New Roman"/>
          <w:b/>
          <w:bCs/>
          <w:kern w:val="0"/>
          <w:sz w:val="28"/>
          <w:szCs w:val="28"/>
          <w14:ligatures w14:val="none"/>
        </w:rPr>
        <w:br/>
      </w:r>
      <w:r w:rsidRPr="00857648">
        <w:rPr>
          <w:rFonts w:ascii="Times New Roman" w:eastAsia="Times New Roman" w:hAnsi="Times New Roman" w:cs="Times New Roman"/>
          <w:b/>
          <w:bCs/>
          <w:kern w:val="0"/>
          <w:sz w:val="28"/>
          <w:szCs w:val="28"/>
          <w14:ligatures w14:val="none"/>
        </w:rPr>
        <w:t>Date:</w:t>
      </w:r>
      <w:r w:rsidRPr="00AD1E81">
        <w:rPr>
          <w:rFonts w:ascii="Times New Roman" w:eastAsia="Times New Roman" w:hAnsi="Times New Roman" w:cs="Times New Roman"/>
          <w:b/>
          <w:bCs/>
          <w:kern w:val="0"/>
          <w:sz w:val="28"/>
          <w:szCs w:val="28"/>
          <w14:ligatures w14:val="none"/>
        </w:rPr>
        <w:t xml:space="preserve"> 30–31 Ashwin 2082 (16–17 October 2025) | </w:t>
      </w:r>
      <w:proofErr w:type="spellStart"/>
      <w:r w:rsidRPr="00AD1E81">
        <w:rPr>
          <w:rFonts w:ascii="Times New Roman" w:eastAsia="Times New Roman" w:hAnsi="Times New Roman" w:cs="Times New Roman"/>
          <w:b/>
          <w:bCs/>
          <w:kern w:val="0"/>
          <w:sz w:val="28"/>
          <w:szCs w:val="28"/>
          <w14:ligatures w14:val="none"/>
        </w:rPr>
        <w:t>Bhairahawa</w:t>
      </w:r>
      <w:proofErr w:type="spellEnd"/>
      <w:r w:rsidRPr="00AD1E81">
        <w:rPr>
          <w:rFonts w:ascii="Times New Roman" w:eastAsia="Times New Roman" w:hAnsi="Times New Roman" w:cs="Times New Roman"/>
          <w:b/>
          <w:bCs/>
          <w:kern w:val="0"/>
          <w:sz w:val="28"/>
          <w:szCs w:val="28"/>
          <w14:ligatures w14:val="none"/>
        </w:rPr>
        <w:t xml:space="preserve">, Lumbini </w:t>
      </w:r>
      <w:r w:rsidRPr="00AD1E81">
        <w:rPr>
          <w:rFonts w:ascii="Times New Roman" w:eastAsia="Times New Roman" w:hAnsi="Times New Roman" w:cs="Times New Roman"/>
          <w:kern w:val="0"/>
          <w:sz w:val="24"/>
          <w:szCs w:val="24"/>
          <w14:ligatures w14:val="none"/>
        </w:rPr>
        <w:br/>
      </w:r>
    </w:p>
    <w:p w14:paraId="1483C2EA" w14:textId="77777777" w:rsidR="00AD1E81" w:rsidRPr="00AD1E81" w:rsidRDefault="00AD1E81" w:rsidP="00AD1E81">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1. Background</w:t>
      </w:r>
    </w:p>
    <w:p w14:paraId="1DD95890" w14:textId="77777777" w:rsidR="00AD1E81" w:rsidRPr="00AD1E81" w:rsidRDefault="00AD1E81" w:rsidP="00AD1E81">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Nepal entered the global carbon finance landscape by signing the Emission Reductions Payment Agreement (ERPA) with the World Bank’s Forest Carbon Partnership Facility (FCPF) Carbon Fund on 24 February 2021. This agreement commits Nepal to reduce emissions from deforestation and forest degradation across 13 districts of the Terai Arc Landscape (TAL), covering over 5 million residents and some of Nepal’s most productive forest ecosystems.</w:t>
      </w:r>
    </w:p>
    <w:p w14:paraId="36273FB7" w14:textId="77777777" w:rsidR="00AD1E81" w:rsidRPr="001C1EBF" w:rsidRDefault="00AD1E81" w:rsidP="00AD1E81">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The first ERP monitoring period (2018–2021) was successfully validated and verified by the independent Validation and Verification Body (VVB). Based on verified emission reductions, Nepal secured a USD 9.4 million payment—the first global performance-based climate finance payment of this scale in the forestry sector for Nepal.</w:t>
      </w:r>
    </w:p>
    <w:p w14:paraId="0594DC65" w14:textId="268E178C" w:rsidR="00FC47B8" w:rsidRPr="00FC47B8" w:rsidRDefault="00FC47B8" w:rsidP="00FC47B8">
      <w:pPr>
        <w:pStyle w:val="NormalWeb"/>
        <w:jc w:val="both"/>
        <w:rPr>
          <w:b/>
          <w:bCs/>
        </w:rPr>
      </w:pPr>
      <w:r w:rsidRPr="00FC47B8">
        <w:rPr>
          <w:rStyle w:val="Strong"/>
          <w:b w:val="0"/>
          <w:bCs w:val="0"/>
        </w:rPr>
        <w:t xml:space="preserve">Following the finalization of Nepal’s </w:t>
      </w:r>
      <w:r w:rsidRPr="00FC47B8">
        <w:rPr>
          <w:rStyle w:val="Emphasis"/>
          <w:b/>
          <w:bCs/>
        </w:rPr>
        <w:t>Second National REDD+ Strategy (2025–2034)</w:t>
      </w:r>
      <w:r>
        <w:rPr>
          <w:rStyle w:val="FootnoteReference"/>
          <w:b/>
          <w:bCs/>
          <w:i/>
          <w:iCs/>
        </w:rPr>
        <w:footnoteReference w:id="1"/>
      </w:r>
      <w:r w:rsidRPr="00FC47B8">
        <w:rPr>
          <w:rStyle w:val="Strong"/>
          <w:b w:val="0"/>
          <w:bCs w:val="0"/>
        </w:rPr>
        <w:t xml:space="preserve">, the country is positioned to strengthen its results-based climate action framework. To ensure transparent, equitable, and results-oriented utilization of benefits generated under the Emission Reduction Program (ERP), Nepal is mandated to design and operationalize a comprehensive </w:t>
      </w:r>
      <w:r w:rsidRPr="00AA7B52">
        <w:rPr>
          <w:rStyle w:val="Emphasis"/>
          <w:b/>
          <w:bCs/>
          <w:i w:val="0"/>
          <w:iCs w:val="0"/>
        </w:rPr>
        <w:t>Investment Plan (IP</w:t>
      </w:r>
      <w:r w:rsidRPr="00FC47B8">
        <w:rPr>
          <w:rStyle w:val="Emphasis"/>
          <w:b/>
          <w:bCs/>
        </w:rPr>
        <w:t>)</w:t>
      </w:r>
      <w:r w:rsidRPr="00FC47B8">
        <w:rPr>
          <w:rStyle w:val="Strong"/>
          <w:b w:val="0"/>
          <w:bCs w:val="0"/>
        </w:rPr>
        <w:t xml:space="preserve">—a strategic planning instrument that aligns directly with the national </w:t>
      </w:r>
      <w:r w:rsidRPr="00FC47B8">
        <w:rPr>
          <w:rStyle w:val="Strong"/>
          <w:i/>
          <w:iCs/>
        </w:rPr>
        <w:t>Carbon Benefit Sharing Plan (BSP).</w:t>
      </w:r>
      <w:r>
        <w:rPr>
          <w:rStyle w:val="FootnoteReference"/>
          <w:b/>
          <w:bCs/>
        </w:rPr>
        <w:footnoteReference w:id="2"/>
      </w:r>
    </w:p>
    <w:p w14:paraId="00975070" w14:textId="14B131CF" w:rsidR="00FC47B8" w:rsidRDefault="00FC47B8" w:rsidP="00FC47B8">
      <w:pPr>
        <w:pStyle w:val="NormalWeb"/>
      </w:pPr>
      <w:r w:rsidRPr="00FC47B8">
        <w:rPr>
          <w:rStyle w:val="Strong"/>
          <w:b w:val="0"/>
          <w:bCs w:val="0"/>
        </w:rPr>
        <w:t>The Investment Plan (IP)</w:t>
      </w:r>
      <w:r>
        <w:t xml:space="preserve"> will function as the principal framework guiding Divisional Forest Offices (DFOs), Protected Areas (PAs), Community Forest User Groups (CFUGs), and other local stakeholders in planning, prioritizing, and effectively allocating performance-based payments. The IP will reinforce the Strategy’s core pillars—forest governance, safeguards, carbon accounting, community empowerment, and climate-resilient livelihoods—ensuring that performance payments directly contribute to reduced deforestation, improved forest management, and strengthened Indigenous Peoples’ and Local Communities’ (IPLCs) benefits across the ER Program area.</w:t>
      </w:r>
    </w:p>
    <w:p w14:paraId="702D5A95" w14:textId="77777777" w:rsidR="00AD1E81" w:rsidRPr="00AD1E81" w:rsidRDefault="00AD1E81" w:rsidP="00AD1E81">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In this context, a 1.5-day consultation workshop was held in </w:t>
      </w:r>
      <w:proofErr w:type="spellStart"/>
      <w:r w:rsidRPr="00AD1E81">
        <w:rPr>
          <w:rFonts w:ascii="Times New Roman" w:eastAsia="Times New Roman" w:hAnsi="Times New Roman" w:cs="Times New Roman"/>
          <w:kern w:val="0"/>
          <w:sz w:val="24"/>
          <w:szCs w:val="24"/>
          <w14:ligatures w14:val="none"/>
        </w:rPr>
        <w:t>Bhairahawa</w:t>
      </w:r>
      <w:proofErr w:type="spellEnd"/>
      <w:r w:rsidRPr="00AD1E81">
        <w:rPr>
          <w:rFonts w:ascii="Times New Roman" w:eastAsia="Times New Roman" w:hAnsi="Times New Roman" w:cs="Times New Roman"/>
          <w:kern w:val="0"/>
          <w:sz w:val="24"/>
          <w:szCs w:val="24"/>
          <w14:ligatures w14:val="none"/>
        </w:rPr>
        <w:t xml:space="preserve"> to:</w:t>
      </w:r>
    </w:p>
    <w:p w14:paraId="16F8FA58" w14:textId="77777777" w:rsidR="00AD1E81" w:rsidRPr="00AD1E81" w:rsidRDefault="00AD1E81" w:rsidP="00AD1E81">
      <w:pPr>
        <w:numPr>
          <w:ilvl w:val="0"/>
          <w:numId w:val="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Validate the draft Investment Plan</w:t>
      </w:r>
    </w:p>
    <w:p w14:paraId="68A8D151" w14:textId="77777777" w:rsidR="00AD1E81" w:rsidRPr="00AD1E81" w:rsidRDefault="00AD1E81" w:rsidP="00AD1E81">
      <w:pPr>
        <w:numPr>
          <w:ilvl w:val="0"/>
          <w:numId w:val="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Ensure alignment between BSP and district-level annual programs</w:t>
      </w:r>
    </w:p>
    <w:p w14:paraId="2F72F7FA" w14:textId="77777777" w:rsidR="00AD1E81" w:rsidRPr="00AD1E81" w:rsidRDefault="00AD1E81" w:rsidP="00AD1E81">
      <w:pPr>
        <w:numPr>
          <w:ilvl w:val="0"/>
          <w:numId w:val="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Strengthen coordination among MoFE, REDD IC, Provinces, and DFOs</w:t>
      </w:r>
    </w:p>
    <w:p w14:paraId="68A00CB5" w14:textId="77777777" w:rsidR="00AD1E81" w:rsidRPr="00AD1E81" w:rsidRDefault="00AD1E81" w:rsidP="00AD1E81">
      <w:pPr>
        <w:numPr>
          <w:ilvl w:val="0"/>
          <w:numId w:val="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Prepare for roll-out of ER benefits to communities by FY 2082/83</w:t>
      </w:r>
    </w:p>
    <w:p w14:paraId="2C0A4409" w14:textId="46F8F283" w:rsidR="00AD1E81" w:rsidRPr="00AD1E81" w:rsidRDefault="00AD1E81" w:rsidP="00AD1E8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lastRenderedPageBreak/>
        <w:t xml:space="preserve">A total of </w:t>
      </w:r>
      <w:r w:rsidRPr="00AD1E81">
        <w:rPr>
          <w:rFonts w:ascii="Times New Roman" w:eastAsia="Times New Roman" w:hAnsi="Times New Roman" w:cs="Times New Roman"/>
          <w:b/>
          <w:bCs/>
          <w:kern w:val="0"/>
          <w:sz w:val="24"/>
          <w:szCs w:val="24"/>
          <w14:ligatures w14:val="none"/>
        </w:rPr>
        <w:t>67 participants</w:t>
      </w:r>
      <w:r w:rsidR="00FC47B8">
        <w:rPr>
          <w:rFonts w:ascii="Times New Roman" w:eastAsia="Times New Roman" w:hAnsi="Times New Roman" w:cs="Times New Roman"/>
          <w:b/>
          <w:bCs/>
          <w:kern w:val="0"/>
          <w:sz w:val="24"/>
          <w:szCs w:val="24"/>
          <w14:ligatures w14:val="none"/>
        </w:rPr>
        <w:t xml:space="preserve"> </w:t>
      </w:r>
      <w:r w:rsidR="005B7068">
        <w:rPr>
          <w:rFonts w:ascii="Times New Roman" w:eastAsia="Times New Roman" w:hAnsi="Times New Roman" w:cs="Times New Roman"/>
          <w:b/>
          <w:bCs/>
          <w:kern w:val="0"/>
          <w:sz w:val="24"/>
          <w:szCs w:val="24"/>
          <w14:ligatures w14:val="none"/>
        </w:rPr>
        <w:t>(Detailed</w:t>
      </w:r>
      <w:r w:rsidR="00FC47B8">
        <w:rPr>
          <w:rFonts w:ascii="Times New Roman" w:eastAsia="Times New Roman" w:hAnsi="Times New Roman" w:cs="Times New Roman"/>
          <w:b/>
          <w:bCs/>
          <w:kern w:val="0"/>
          <w:sz w:val="24"/>
          <w:szCs w:val="24"/>
          <w14:ligatures w14:val="none"/>
        </w:rPr>
        <w:t xml:space="preserve"> attendance in Annex) </w:t>
      </w:r>
      <w:r w:rsidRPr="00AD1E81">
        <w:rPr>
          <w:rFonts w:ascii="Times New Roman" w:eastAsia="Times New Roman" w:hAnsi="Times New Roman" w:cs="Times New Roman"/>
          <w:kern w:val="0"/>
          <w:sz w:val="24"/>
          <w:szCs w:val="24"/>
          <w14:ligatures w14:val="none"/>
        </w:rPr>
        <w:t xml:space="preserve">—including senior officials, provincial and district forest authorities, </w:t>
      </w:r>
      <w:r w:rsidR="00D31997">
        <w:rPr>
          <w:rFonts w:ascii="Times New Roman" w:eastAsia="Times New Roman" w:hAnsi="Times New Roman" w:cs="Times New Roman"/>
          <w:kern w:val="0"/>
          <w:sz w:val="24"/>
          <w:szCs w:val="24"/>
          <w14:ligatures w14:val="none"/>
        </w:rPr>
        <w:t xml:space="preserve">and </w:t>
      </w:r>
      <w:r w:rsidRPr="00AD1E81">
        <w:rPr>
          <w:rFonts w:ascii="Times New Roman" w:eastAsia="Times New Roman" w:hAnsi="Times New Roman" w:cs="Times New Roman"/>
          <w:kern w:val="0"/>
          <w:sz w:val="24"/>
          <w:szCs w:val="24"/>
          <w14:ligatures w14:val="none"/>
        </w:rPr>
        <w:t>national park representatives—participated.</w:t>
      </w:r>
    </w:p>
    <w:p w14:paraId="20E0E0BE" w14:textId="77777777" w:rsidR="00AD1E81" w:rsidRPr="00AD1E81" w:rsidRDefault="00AD1E81" w:rsidP="00AD1E81">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2. Objectives of the Workshop</w:t>
      </w:r>
    </w:p>
    <w:p w14:paraId="6E1A99D5" w14:textId="77777777" w:rsidR="00AD1E81" w:rsidRPr="00AD1E81" w:rsidRDefault="00AD1E81" w:rsidP="00AD1E8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The workshop aimed to:</w:t>
      </w:r>
    </w:p>
    <w:p w14:paraId="0D8C8528" w14:textId="5D27FEDC" w:rsidR="00AD1E81" w:rsidRPr="00AD1E81" w:rsidRDefault="00AD1E81" w:rsidP="00AD1E81">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Provide an orientation on the </w:t>
      </w:r>
      <w:r w:rsidRPr="00AD1E81">
        <w:rPr>
          <w:rFonts w:ascii="Times New Roman" w:eastAsia="Times New Roman" w:hAnsi="Times New Roman" w:cs="Times New Roman"/>
          <w:b/>
          <w:bCs/>
          <w:kern w:val="0"/>
          <w:sz w:val="24"/>
          <w:szCs w:val="24"/>
          <w14:ligatures w14:val="none"/>
        </w:rPr>
        <w:t>draft Investment Plan (IP)</w:t>
      </w:r>
      <w:r w:rsidRPr="00AD1E81">
        <w:rPr>
          <w:rFonts w:ascii="Times New Roman" w:eastAsia="Times New Roman" w:hAnsi="Times New Roman" w:cs="Times New Roman"/>
          <w:kern w:val="0"/>
          <w:sz w:val="24"/>
          <w:szCs w:val="24"/>
          <w14:ligatures w14:val="none"/>
        </w:rPr>
        <w:t xml:space="preserve"> </w:t>
      </w:r>
      <w:r w:rsidR="00AA7B52" w:rsidRPr="00AA7B52">
        <w:rPr>
          <w:rFonts w:ascii="Times New Roman" w:eastAsia="Times New Roman" w:hAnsi="Times New Roman" w:cs="Times New Roman"/>
          <w:b/>
          <w:bCs/>
          <w:kern w:val="0"/>
          <w:sz w:val="24"/>
          <w:szCs w:val="24"/>
          <w14:ligatures w14:val="none"/>
        </w:rPr>
        <w:t>Template</w:t>
      </w:r>
      <w:r w:rsidR="00AA7B52">
        <w:rPr>
          <w:rFonts w:ascii="Times New Roman" w:eastAsia="Times New Roman" w:hAnsi="Times New Roman" w:cs="Times New Roman"/>
          <w:b/>
          <w:bCs/>
          <w:kern w:val="0"/>
          <w:sz w:val="24"/>
          <w:szCs w:val="24"/>
          <w14:ligatures w14:val="none"/>
        </w:rPr>
        <w:t xml:space="preserve"> </w:t>
      </w:r>
      <w:proofErr w:type="gramStart"/>
      <w:r w:rsidR="00AA7B52">
        <w:rPr>
          <w:rFonts w:ascii="Times New Roman" w:eastAsia="Times New Roman" w:hAnsi="Times New Roman" w:cs="Times New Roman"/>
          <w:b/>
          <w:bCs/>
          <w:kern w:val="0"/>
          <w:sz w:val="24"/>
          <w:szCs w:val="24"/>
          <w14:ligatures w14:val="none"/>
        </w:rPr>
        <w:t>( in</w:t>
      </w:r>
      <w:proofErr w:type="gramEnd"/>
      <w:r w:rsidR="00AA7B52">
        <w:rPr>
          <w:rFonts w:ascii="Times New Roman" w:eastAsia="Times New Roman" w:hAnsi="Times New Roman" w:cs="Times New Roman"/>
          <w:b/>
          <w:bCs/>
          <w:kern w:val="0"/>
          <w:sz w:val="24"/>
          <w:szCs w:val="24"/>
          <w14:ligatures w14:val="none"/>
        </w:rPr>
        <w:t xml:space="preserve"> Annex)</w:t>
      </w:r>
      <w:r w:rsidR="00AA7B52" w:rsidRPr="00AA7B52">
        <w:rPr>
          <w:rFonts w:ascii="Times New Roman" w:eastAsia="Times New Roman" w:hAnsi="Times New Roman" w:cs="Times New Roman"/>
          <w:b/>
          <w:bCs/>
          <w:kern w:val="0"/>
          <w:sz w:val="24"/>
          <w:szCs w:val="24"/>
          <w14:ligatures w14:val="none"/>
        </w:rPr>
        <w:t xml:space="preserve"> </w:t>
      </w:r>
      <w:r w:rsidRPr="00AD1E81">
        <w:rPr>
          <w:rFonts w:ascii="Times New Roman" w:eastAsia="Times New Roman" w:hAnsi="Times New Roman" w:cs="Times New Roman"/>
          <w:kern w:val="0"/>
          <w:sz w:val="24"/>
          <w:szCs w:val="24"/>
          <w14:ligatures w14:val="none"/>
        </w:rPr>
        <w:t>and expected institutional arrangements.</w:t>
      </w:r>
    </w:p>
    <w:p w14:paraId="62DCFDE9" w14:textId="77777777" w:rsidR="00AD1E81" w:rsidRPr="00AD1E81" w:rsidRDefault="00AD1E81" w:rsidP="00AD1E81">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Review forest area and performance data from </w:t>
      </w:r>
      <w:r w:rsidRPr="00AD1E81">
        <w:rPr>
          <w:rFonts w:ascii="Times New Roman" w:eastAsia="Times New Roman" w:hAnsi="Times New Roman" w:cs="Times New Roman"/>
          <w:b/>
          <w:bCs/>
          <w:kern w:val="0"/>
          <w:sz w:val="24"/>
          <w:szCs w:val="24"/>
          <w14:ligatures w14:val="none"/>
        </w:rPr>
        <w:t>13 TAL districts, 16 Divisional Forest Offices, and 5 National Parks</w:t>
      </w:r>
      <w:r w:rsidRPr="00AD1E81">
        <w:rPr>
          <w:rFonts w:ascii="Times New Roman" w:eastAsia="Times New Roman" w:hAnsi="Times New Roman" w:cs="Times New Roman"/>
          <w:kern w:val="0"/>
          <w:sz w:val="24"/>
          <w:szCs w:val="24"/>
          <w14:ligatures w14:val="none"/>
        </w:rPr>
        <w:t>.</w:t>
      </w:r>
    </w:p>
    <w:p w14:paraId="5305BE31" w14:textId="77777777" w:rsidR="00AD1E81" w:rsidRPr="00AD1E81" w:rsidRDefault="00AD1E81" w:rsidP="00AD1E81">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Clarify roles and responsibilities for operationalizing the Carbon Benefit Sharing Plan (BSP).</w:t>
      </w:r>
    </w:p>
    <w:p w14:paraId="1E5E42E2" w14:textId="77777777" w:rsidR="00AD1E81" w:rsidRPr="00AD1E81" w:rsidRDefault="00AD1E81" w:rsidP="00AD1E81">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Agree on priority investment areas for emission reduction and community benefit enhancement.</w:t>
      </w:r>
    </w:p>
    <w:p w14:paraId="21388CDA" w14:textId="77777777" w:rsidR="00AD1E81" w:rsidRPr="00AD1E81" w:rsidRDefault="00AD1E81" w:rsidP="00AD1E81">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Strengthen institutional coordination through REDD Desks, REDD Focal Persons, and REDD Cells at district and provincial levels.</w:t>
      </w:r>
    </w:p>
    <w:p w14:paraId="11805C3E" w14:textId="77777777" w:rsidR="00AD1E81" w:rsidRPr="00AD1E81" w:rsidRDefault="00AD1E81" w:rsidP="00AD1E81">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Gather technical and procedural feedback for finalizing the Investment Plan.</w:t>
      </w:r>
    </w:p>
    <w:p w14:paraId="5C60E8F0" w14:textId="77777777" w:rsidR="00AD1E81" w:rsidRPr="00AD1E81" w:rsidRDefault="00AD1E81" w:rsidP="00AD1E81">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3. Participation Profile</w:t>
      </w:r>
    </w:p>
    <w:p w14:paraId="0CD51BCD"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3.1 Gender and Ethnicity-wise Participation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30"/>
        <w:gridCol w:w="1800"/>
        <w:gridCol w:w="2520"/>
        <w:gridCol w:w="1440"/>
      </w:tblGrid>
      <w:tr w:rsidR="00AD1E81" w:rsidRPr="00AD1E81" w14:paraId="7D91CFE4" w14:textId="77777777" w:rsidTr="00AD1E81">
        <w:trPr>
          <w:tblHeader/>
          <w:tblCellSpacing w:w="15" w:type="dxa"/>
        </w:trPr>
        <w:tc>
          <w:tcPr>
            <w:tcW w:w="3285" w:type="dxa"/>
            <w:vAlign w:val="center"/>
            <w:hideMark/>
          </w:tcPr>
          <w:p w14:paraId="66984E6D"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Category</w:t>
            </w:r>
          </w:p>
        </w:tc>
        <w:tc>
          <w:tcPr>
            <w:tcW w:w="1770" w:type="dxa"/>
            <w:vAlign w:val="center"/>
            <w:hideMark/>
          </w:tcPr>
          <w:p w14:paraId="7C05AC52"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Male</w:t>
            </w:r>
          </w:p>
        </w:tc>
        <w:tc>
          <w:tcPr>
            <w:tcW w:w="2490" w:type="dxa"/>
            <w:vAlign w:val="center"/>
            <w:hideMark/>
          </w:tcPr>
          <w:p w14:paraId="00B0C83E"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Female</w:t>
            </w:r>
          </w:p>
        </w:tc>
        <w:tc>
          <w:tcPr>
            <w:tcW w:w="1395" w:type="dxa"/>
            <w:vAlign w:val="center"/>
            <w:hideMark/>
          </w:tcPr>
          <w:p w14:paraId="18FEAF25"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Total</w:t>
            </w:r>
          </w:p>
        </w:tc>
      </w:tr>
      <w:tr w:rsidR="00AD1E81" w:rsidRPr="00AD1E81" w14:paraId="27D86C89" w14:textId="77777777" w:rsidTr="00AD1E81">
        <w:trPr>
          <w:tblCellSpacing w:w="15" w:type="dxa"/>
        </w:trPr>
        <w:tc>
          <w:tcPr>
            <w:tcW w:w="3285" w:type="dxa"/>
            <w:vAlign w:val="center"/>
            <w:hideMark/>
          </w:tcPr>
          <w:p w14:paraId="5DE1650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Indigenous</w:t>
            </w:r>
          </w:p>
        </w:tc>
        <w:tc>
          <w:tcPr>
            <w:tcW w:w="1770" w:type="dxa"/>
            <w:vAlign w:val="center"/>
            <w:hideMark/>
          </w:tcPr>
          <w:p w14:paraId="2AEDEE9A" w14:textId="77777777" w:rsidR="00AD1E81" w:rsidRPr="00AD1E81" w:rsidRDefault="00AD1E81" w:rsidP="00AD1E81">
            <w:pPr>
              <w:spacing w:after="0" w:line="240" w:lineRule="auto"/>
              <w:jc w:val="center"/>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9</w:t>
            </w:r>
          </w:p>
        </w:tc>
        <w:tc>
          <w:tcPr>
            <w:tcW w:w="2490" w:type="dxa"/>
            <w:vAlign w:val="center"/>
            <w:hideMark/>
          </w:tcPr>
          <w:p w14:paraId="04E745BE" w14:textId="77777777" w:rsidR="00AD1E81" w:rsidRPr="00AD1E81" w:rsidRDefault="00AD1E81" w:rsidP="00AD1E81">
            <w:pPr>
              <w:spacing w:after="0" w:line="240" w:lineRule="auto"/>
              <w:jc w:val="center"/>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w:t>
            </w:r>
          </w:p>
        </w:tc>
        <w:tc>
          <w:tcPr>
            <w:tcW w:w="1395" w:type="dxa"/>
            <w:vAlign w:val="center"/>
            <w:hideMark/>
          </w:tcPr>
          <w:p w14:paraId="376B3B8D" w14:textId="77777777" w:rsidR="00AD1E81" w:rsidRPr="00AD1E81" w:rsidRDefault="00AD1E81" w:rsidP="00AD1E81">
            <w:pPr>
              <w:spacing w:after="0" w:line="240" w:lineRule="auto"/>
              <w:jc w:val="center"/>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11</w:t>
            </w:r>
          </w:p>
        </w:tc>
      </w:tr>
      <w:tr w:rsidR="00AD1E81" w:rsidRPr="00AD1E81" w14:paraId="2AA885BB" w14:textId="77777777" w:rsidTr="00AD1E81">
        <w:trPr>
          <w:tblCellSpacing w:w="15" w:type="dxa"/>
        </w:trPr>
        <w:tc>
          <w:tcPr>
            <w:tcW w:w="3285" w:type="dxa"/>
            <w:vAlign w:val="center"/>
            <w:hideMark/>
          </w:tcPr>
          <w:p w14:paraId="34C89538"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Non-Indigenous</w:t>
            </w:r>
          </w:p>
        </w:tc>
        <w:tc>
          <w:tcPr>
            <w:tcW w:w="1770" w:type="dxa"/>
            <w:vAlign w:val="center"/>
            <w:hideMark/>
          </w:tcPr>
          <w:p w14:paraId="0E1149D5" w14:textId="77777777" w:rsidR="00AD1E81" w:rsidRPr="00AD1E81" w:rsidRDefault="00AD1E81" w:rsidP="00AD1E81">
            <w:pPr>
              <w:spacing w:after="0" w:line="240" w:lineRule="auto"/>
              <w:jc w:val="center"/>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51</w:t>
            </w:r>
          </w:p>
        </w:tc>
        <w:tc>
          <w:tcPr>
            <w:tcW w:w="2490" w:type="dxa"/>
            <w:vAlign w:val="center"/>
            <w:hideMark/>
          </w:tcPr>
          <w:p w14:paraId="484A249B" w14:textId="77777777" w:rsidR="00AD1E81" w:rsidRPr="00AD1E81" w:rsidRDefault="00AD1E81" w:rsidP="00AD1E81">
            <w:pPr>
              <w:spacing w:after="0" w:line="240" w:lineRule="auto"/>
              <w:jc w:val="center"/>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w:t>
            </w:r>
          </w:p>
        </w:tc>
        <w:tc>
          <w:tcPr>
            <w:tcW w:w="1395" w:type="dxa"/>
            <w:vAlign w:val="center"/>
            <w:hideMark/>
          </w:tcPr>
          <w:p w14:paraId="5F6B18F0" w14:textId="77777777" w:rsidR="00AD1E81" w:rsidRPr="00AD1E81" w:rsidRDefault="00AD1E81" w:rsidP="00AD1E81">
            <w:pPr>
              <w:spacing w:after="0" w:line="240" w:lineRule="auto"/>
              <w:jc w:val="center"/>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56</w:t>
            </w:r>
          </w:p>
        </w:tc>
      </w:tr>
      <w:tr w:rsidR="00AD1E81" w:rsidRPr="00AD1E81" w14:paraId="1832749B" w14:textId="77777777" w:rsidTr="00AD1E81">
        <w:trPr>
          <w:tblCellSpacing w:w="15" w:type="dxa"/>
        </w:trPr>
        <w:tc>
          <w:tcPr>
            <w:tcW w:w="3285" w:type="dxa"/>
            <w:vAlign w:val="center"/>
            <w:hideMark/>
          </w:tcPr>
          <w:p w14:paraId="1E1F28E8"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b/>
                <w:bCs/>
                <w:kern w:val="0"/>
                <w:sz w:val="24"/>
                <w:szCs w:val="24"/>
                <w14:ligatures w14:val="none"/>
              </w:rPr>
              <w:t>Total</w:t>
            </w:r>
          </w:p>
        </w:tc>
        <w:tc>
          <w:tcPr>
            <w:tcW w:w="1770" w:type="dxa"/>
            <w:vAlign w:val="center"/>
            <w:hideMark/>
          </w:tcPr>
          <w:p w14:paraId="2C711B2F" w14:textId="77777777" w:rsidR="00AD1E81" w:rsidRPr="00AD1E81" w:rsidRDefault="00AD1E81" w:rsidP="00AD1E81">
            <w:pPr>
              <w:spacing w:after="0" w:line="240" w:lineRule="auto"/>
              <w:jc w:val="center"/>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60</w:t>
            </w:r>
          </w:p>
        </w:tc>
        <w:tc>
          <w:tcPr>
            <w:tcW w:w="2490" w:type="dxa"/>
            <w:vAlign w:val="center"/>
            <w:hideMark/>
          </w:tcPr>
          <w:p w14:paraId="0A2C97D2" w14:textId="77777777" w:rsidR="00AD1E81" w:rsidRPr="00AD1E81" w:rsidRDefault="00AD1E81" w:rsidP="00AD1E81">
            <w:pPr>
              <w:spacing w:after="0" w:line="240" w:lineRule="auto"/>
              <w:jc w:val="center"/>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7</w:t>
            </w:r>
          </w:p>
        </w:tc>
        <w:tc>
          <w:tcPr>
            <w:tcW w:w="1395" w:type="dxa"/>
            <w:vAlign w:val="center"/>
            <w:hideMark/>
          </w:tcPr>
          <w:p w14:paraId="6BC8FA2D" w14:textId="77777777" w:rsidR="00AD1E81" w:rsidRPr="00AD1E81" w:rsidRDefault="00AD1E81" w:rsidP="00AD1E81">
            <w:pPr>
              <w:spacing w:after="0" w:line="240" w:lineRule="auto"/>
              <w:jc w:val="center"/>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67</w:t>
            </w:r>
          </w:p>
        </w:tc>
      </w:tr>
    </w:tbl>
    <w:p w14:paraId="62B01348" w14:textId="77777777" w:rsidR="00AD1E81" w:rsidRPr="00AD1E81" w:rsidRDefault="00AD1E81" w:rsidP="00AD1E8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i/>
          <w:iCs/>
          <w:kern w:val="0"/>
          <w:sz w:val="24"/>
          <w:szCs w:val="24"/>
          <w14:ligatures w14:val="none"/>
        </w:rPr>
        <w:t>(Note: Low female participation reflects structural gender imbalances in forestry governance; participants recommended that future REDD+ programs ensure minimum 33% women's participation.)</w:t>
      </w:r>
    </w:p>
    <w:p w14:paraId="1EAB2E81" w14:textId="77777777" w:rsidR="00AD1E81" w:rsidRPr="00AD1E81" w:rsidRDefault="00AD1E81" w:rsidP="00AD1E81">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4. Forest Area and Program Scope</w:t>
      </w:r>
    </w:p>
    <w:p w14:paraId="2823E095" w14:textId="671D7836"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 xml:space="preserve">4.1 </w:t>
      </w:r>
      <w:r w:rsidR="00CB290D">
        <w:rPr>
          <w:rFonts w:ascii="Times New Roman" w:eastAsia="Times New Roman" w:hAnsi="Times New Roman" w:cs="Times New Roman"/>
          <w:b/>
          <w:bCs/>
          <w:kern w:val="0"/>
          <w:sz w:val="24"/>
          <w:szCs w:val="24"/>
          <w14:ligatures w14:val="none"/>
        </w:rPr>
        <w:t xml:space="preserve">National Parks and </w:t>
      </w:r>
      <w:r w:rsidRPr="00AD1E81">
        <w:rPr>
          <w:rFonts w:ascii="Times New Roman" w:eastAsia="Times New Roman" w:hAnsi="Times New Roman" w:cs="Times New Roman"/>
          <w:b/>
          <w:bCs/>
          <w:kern w:val="0"/>
          <w:sz w:val="24"/>
          <w:szCs w:val="24"/>
          <w14:ligatures w14:val="none"/>
        </w:rPr>
        <w:t>Protected Areas – Forest Area Overview</w:t>
      </w:r>
    </w:p>
    <w:p w14:paraId="1C03BEAA" w14:textId="11234877" w:rsidR="00AD1E81" w:rsidRPr="001C1EBF" w:rsidRDefault="00AD1E81" w:rsidP="00AD1E8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A total of </w:t>
      </w:r>
      <w:r w:rsidRPr="00AD1E81">
        <w:rPr>
          <w:rFonts w:ascii="Times New Roman" w:eastAsia="Times New Roman" w:hAnsi="Times New Roman" w:cs="Times New Roman"/>
          <w:b/>
          <w:bCs/>
          <w:kern w:val="0"/>
          <w:sz w:val="24"/>
          <w:szCs w:val="24"/>
          <w14:ligatures w14:val="none"/>
        </w:rPr>
        <w:t>169,951.85 ha</w:t>
      </w:r>
      <w:r w:rsidRPr="00AD1E81">
        <w:rPr>
          <w:rFonts w:ascii="Times New Roman" w:eastAsia="Times New Roman" w:hAnsi="Times New Roman" w:cs="Times New Roman"/>
          <w:kern w:val="0"/>
          <w:sz w:val="24"/>
          <w:szCs w:val="24"/>
          <w14:ligatures w14:val="none"/>
        </w:rPr>
        <w:t xml:space="preserve"> across 5 Protected Areas (PAs) are engaged under the ERP.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3"/>
        <w:gridCol w:w="1832"/>
        <w:gridCol w:w="1434"/>
        <w:gridCol w:w="1045"/>
        <w:gridCol w:w="1083"/>
        <w:gridCol w:w="1074"/>
        <w:gridCol w:w="1354"/>
        <w:gridCol w:w="1035"/>
      </w:tblGrid>
      <w:tr w:rsidR="00AD1E81" w:rsidRPr="00AD1E81" w14:paraId="59383520" w14:textId="77777777" w:rsidTr="00AD1E81">
        <w:trPr>
          <w:tblHeader/>
          <w:tblCellSpacing w:w="15" w:type="dxa"/>
        </w:trPr>
        <w:tc>
          <w:tcPr>
            <w:tcW w:w="0" w:type="auto"/>
            <w:vAlign w:val="center"/>
            <w:hideMark/>
          </w:tcPr>
          <w:p w14:paraId="34FC64B9"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S.N.</w:t>
            </w:r>
          </w:p>
        </w:tc>
        <w:tc>
          <w:tcPr>
            <w:tcW w:w="0" w:type="auto"/>
            <w:vAlign w:val="center"/>
            <w:hideMark/>
          </w:tcPr>
          <w:p w14:paraId="51B0DB5B"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Protected Area</w:t>
            </w:r>
          </w:p>
        </w:tc>
        <w:tc>
          <w:tcPr>
            <w:tcW w:w="0" w:type="auto"/>
            <w:vAlign w:val="center"/>
            <w:hideMark/>
          </w:tcPr>
          <w:p w14:paraId="08DC1D36"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Province</w:t>
            </w:r>
          </w:p>
        </w:tc>
        <w:tc>
          <w:tcPr>
            <w:tcW w:w="0" w:type="auto"/>
            <w:vAlign w:val="center"/>
            <w:hideMark/>
          </w:tcPr>
          <w:p w14:paraId="7F594A59"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Core Forest</w:t>
            </w:r>
          </w:p>
        </w:tc>
        <w:tc>
          <w:tcPr>
            <w:tcW w:w="0" w:type="auto"/>
            <w:vAlign w:val="center"/>
            <w:hideMark/>
          </w:tcPr>
          <w:p w14:paraId="1F863F35"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Buffer Zone CF</w:t>
            </w:r>
          </w:p>
        </w:tc>
        <w:tc>
          <w:tcPr>
            <w:tcW w:w="0" w:type="auto"/>
            <w:vAlign w:val="center"/>
            <w:hideMark/>
          </w:tcPr>
          <w:p w14:paraId="7C3385EE"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Religious Forest</w:t>
            </w:r>
          </w:p>
        </w:tc>
        <w:tc>
          <w:tcPr>
            <w:tcW w:w="0" w:type="auto"/>
            <w:vAlign w:val="center"/>
            <w:hideMark/>
          </w:tcPr>
          <w:p w14:paraId="5FA5E5B5"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Community Forest</w:t>
            </w:r>
          </w:p>
        </w:tc>
        <w:tc>
          <w:tcPr>
            <w:tcW w:w="0" w:type="auto"/>
            <w:vAlign w:val="center"/>
            <w:hideMark/>
          </w:tcPr>
          <w:p w14:paraId="7A6A4078"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Total</w:t>
            </w:r>
          </w:p>
        </w:tc>
      </w:tr>
      <w:tr w:rsidR="00AD1E81" w:rsidRPr="00AD1E81" w14:paraId="322B3C84" w14:textId="77777777" w:rsidTr="00AD1E81">
        <w:trPr>
          <w:tblCellSpacing w:w="15" w:type="dxa"/>
        </w:trPr>
        <w:tc>
          <w:tcPr>
            <w:tcW w:w="0" w:type="auto"/>
            <w:vAlign w:val="center"/>
            <w:hideMark/>
          </w:tcPr>
          <w:p w14:paraId="5C5AFE7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w:t>
            </w:r>
          </w:p>
        </w:tc>
        <w:tc>
          <w:tcPr>
            <w:tcW w:w="0" w:type="auto"/>
            <w:vAlign w:val="center"/>
            <w:hideMark/>
          </w:tcPr>
          <w:p w14:paraId="29E00B8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Parsa National Park, </w:t>
            </w:r>
            <w:proofErr w:type="spellStart"/>
            <w:r w:rsidRPr="00AD1E81">
              <w:rPr>
                <w:rFonts w:ascii="Times New Roman" w:eastAsia="Times New Roman" w:hAnsi="Times New Roman" w:cs="Times New Roman"/>
                <w:kern w:val="0"/>
                <w:sz w:val="24"/>
                <w:szCs w:val="24"/>
                <w14:ligatures w14:val="none"/>
              </w:rPr>
              <w:t>Adhabhar</w:t>
            </w:r>
            <w:proofErr w:type="spellEnd"/>
          </w:p>
        </w:tc>
        <w:tc>
          <w:tcPr>
            <w:tcW w:w="0" w:type="auto"/>
            <w:vAlign w:val="center"/>
            <w:hideMark/>
          </w:tcPr>
          <w:p w14:paraId="1326B853"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Madhesh</w:t>
            </w:r>
          </w:p>
        </w:tc>
        <w:tc>
          <w:tcPr>
            <w:tcW w:w="0" w:type="auto"/>
            <w:vAlign w:val="center"/>
            <w:hideMark/>
          </w:tcPr>
          <w:p w14:paraId="4F79F4C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9,929.90</w:t>
            </w:r>
          </w:p>
        </w:tc>
        <w:tc>
          <w:tcPr>
            <w:tcW w:w="0" w:type="auto"/>
            <w:vAlign w:val="center"/>
            <w:hideMark/>
          </w:tcPr>
          <w:p w14:paraId="14B18CE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9,763.32</w:t>
            </w:r>
          </w:p>
        </w:tc>
        <w:tc>
          <w:tcPr>
            <w:tcW w:w="0" w:type="auto"/>
            <w:vAlign w:val="center"/>
            <w:hideMark/>
          </w:tcPr>
          <w:p w14:paraId="7A78573B"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286.50</w:t>
            </w:r>
          </w:p>
        </w:tc>
        <w:tc>
          <w:tcPr>
            <w:tcW w:w="0" w:type="auto"/>
            <w:vAlign w:val="center"/>
            <w:hideMark/>
          </w:tcPr>
          <w:p w14:paraId="75B76B4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189BF5A3"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20,041.34</w:t>
            </w:r>
          </w:p>
        </w:tc>
      </w:tr>
      <w:tr w:rsidR="00AD1E81" w:rsidRPr="00AD1E81" w14:paraId="0EE9D260" w14:textId="77777777" w:rsidTr="00AD1E81">
        <w:trPr>
          <w:tblCellSpacing w:w="15" w:type="dxa"/>
        </w:trPr>
        <w:tc>
          <w:tcPr>
            <w:tcW w:w="0" w:type="auto"/>
            <w:vAlign w:val="center"/>
            <w:hideMark/>
          </w:tcPr>
          <w:p w14:paraId="3FBD66A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w:t>
            </w:r>
          </w:p>
        </w:tc>
        <w:tc>
          <w:tcPr>
            <w:tcW w:w="0" w:type="auto"/>
            <w:vAlign w:val="center"/>
            <w:hideMark/>
          </w:tcPr>
          <w:p w14:paraId="6018C2B4"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Chitwan National Park, Kasara</w:t>
            </w:r>
          </w:p>
        </w:tc>
        <w:tc>
          <w:tcPr>
            <w:tcW w:w="0" w:type="auto"/>
            <w:vAlign w:val="center"/>
            <w:hideMark/>
          </w:tcPr>
          <w:p w14:paraId="30F254A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Bagmati</w:t>
            </w:r>
          </w:p>
        </w:tc>
        <w:tc>
          <w:tcPr>
            <w:tcW w:w="0" w:type="auto"/>
            <w:vAlign w:val="center"/>
            <w:hideMark/>
          </w:tcPr>
          <w:p w14:paraId="5BA6354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34,774.00</w:t>
            </w:r>
          </w:p>
        </w:tc>
        <w:tc>
          <w:tcPr>
            <w:tcW w:w="0" w:type="auto"/>
            <w:vAlign w:val="center"/>
            <w:hideMark/>
          </w:tcPr>
          <w:p w14:paraId="1257B260"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17,406.23</w:t>
            </w:r>
          </w:p>
        </w:tc>
        <w:tc>
          <w:tcPr>
            <w:tcW w:w="0" w:type="auto"/>
            <w:vAlign w:val="center"/>
            <w:hideMark/>
          </w:tcPr>
          <w:p w14:paraId="4962D9D3"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19.68</w:t>
            </w:r>
          </w:p>
        </w:tc>
        <w:tc>
          <w:tcPr>
            <w:tcW w:w="0" w:type="auto"/>
            <w:vAlign w:val="center"/>
            <w:hideMark/>
          </w:tcPr>
          <w:p w14:paraId="704B626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170AA85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52,213.91</w:t>
            </w:r>
          </w:p>
        </w:tc>
      </w:tr>
      <w:tr w:rsidR="00AD1E81" w:rsidRPr="00AD1E81" w14:paraId="03D83368" w14:textId="77777777" w:rsidTr="00AD1E81">
        <w:trPr>
          <w:tblCellSpacing w:w="15" w:type="dxa"/>
        </w:trPr>
        <w:tc>
          <w:tcPr>
            <w:tcW w:w="0" w:type="auto"/>
            <w:vAlign w:val="center"/>
            <w:hideMark/>
          </w:tcPr>
          <w:p w14:paraId="3B38778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lastRenderedPageBreak/>
              <w:t>3</w:t>
            </w:r>
          </w:p>
        </w:tc>
        <w:tc>
          <w:tcPr>
            <w:tcW w:w="0" w:type="auto"/>
            <w:vAlign w:val="center"/>
            <w:hideMark/>
          </w:tcPr>
          <w:p w14:paraId="004D666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Banke National Park, </w:t>
            </w:r>
            <w:proofErr w:type="spellStart"/>
            <w:r w:rsidRPr="00AD1E81">
              <w:rPr>
                <w:rFonts w:ascii="Times New Roman" w:eastAsia="Times New Roman" w:hAnsi="Times New Roman" w:cs="Times New Roman"/>
                <w:kern w:val="0"/>
                <w:sz w:val="24"/>
                <w:szCs w:val="24"/>
                <w14:ligatures w14:val="none"/>
              </w:rPr>
              <w:t>Obhari</w:t>
            </w:r>
            <w:proofErr w:type="spellEnd"/>
          </w:p>
        </w:tc>
        <w:tc>
          <w:tcPr>
            <w:tcW w:w="0" w:type="auto"/>
            <w:vAlign w:val="center"/>
            <w:hideMark/>
          </w:tcPr>
          <w:p w14:paraId="345E75C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Lumbini</w:t>
            </w:r>
          </w:p>
        </w:tc>
        <w:tc>
          <w:tcPr>
            <w:tcW w:w="0" w:type="auto"/>
            <w:vAlign w:val="center"/>
            <w:hideMark/>
          </w:tcPr>
          <w:p w14:paraId="26D83C04"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21,196.00</w:t>
            </w:r>
          </w:p>
        </w:tc>
        <w:tc>
          <w:tcPr>
            <w:tcW w:w="0" w:type="auto"/>
            <w:vAlign w:val="center"/>
            <w:hideMark/>
          </w:tcPr>
          <w:p w14:paraId="50833194"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9,993.00</w:t>
            </w:r>
          </w:p>
        </w:tc>
        <w:tc>
          <w:tcPr>
            <w:tcW w:w="0" w:type="auto"/>
            <w:vAlign w:val="center"/>
            <w:hideMark/>
          </w:tcPr>
          <w:p w14:paraId="5411E99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E3AEBC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13.17</w:t>
            </w:r>
          </w:p>
        </w:tc>
        <w:tc>
          <w:tcPr>
            <w:tcW w:w="0" w:type="auto"/>
            <w:vAlign w:val="center"/>
            <w:hideMark/>
          </w:tcPr>
          <w:p w14:paraId="4573BAF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31,202.17</w:t>
            </w:r>
          </w:p>
        </w:tc>
      </w:tr>
      <w:tr w:rsidR="00AD1E81" w:rsidRPr="00AD1E81" w14:paraId="14AB6D6A" w14:textId="77777777" w:rsidTr="00AD1E81">
        <w:trPr>
          <w:tblCellSpacing w:w="15" w:type="dxa"/>
        </w:trPr>
        <w:tc>
          <w:tcPr>
            <w:tcW w:w="0" w:type="auto"/>
            <w:vAlign w:val="center"/>
            <w:hideMark/>
          </w:tcPr>
          <w:p w14:paraId="1838CD90"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4</w:t>
            </w:r>
          </w:p>
        </w:tc>
        <w:tc>
          <w:tcPr>
            <w:tcW w:w="0" w:type="auto"/>
            <w:vAlign w:val="center"/>
            <w:hideMark/>
          </w:tcPr>
          <w:p w14:paraId="5632CA4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Bardiya National Park, </w:t>
            </w:r>
            <w:proofErr w:type="spellStart"/>
            <w:r w:rsidRPr="00AD1E81">
              <w:rPr>
                <w:rFonts w:ascii="Times New Roman" w:eastAsia="Times New Roman" w:hAnsi="Times New Roman" w:cs="Times New Roman"/>
                <w:kern w:val="0"/>
                <w:sz w:val="24"/>
                <w:szCs w:val="24"/>
                <w14:ligatures w14:val="none"/>
              </w:rPr>
              <w:t>Thakurdwara</w:t>
            </w:r>
            <w:proofErr w:type="spellEnd"/>
          </w:p>
        </w:tc>
        <w:tc>
          <w:tcPr>
            <w:tcW w:w="0" w:type="auto"/>
            <w:vAlign w:val="center"/>
            <w:hideMark/>
          </w:tcPr>
          <w:p w14:paraId="7587E6A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Lumbini</w:t>
            </w:r>
          </w:p>
        </w:tc>
        <w:tc>
          <w:tcPr>
            <w:tcW w:w="0" w:type="auto"/>
            <w:vAlign w:val="center"/>
            <w:hideMark/>
          </w:tcPr>
          <w:p w14:paraId="79A7959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22,000.00</w:t>
            </w:r>
          </w:p>
        </w:tc>
        <w:tc>
          <w:tcPr>
            <w:tcW w:w="0" w:type="auto"/>
            <w:vAlign w:val="center"/>
            <w:hideMark/>
          </w:tcPr>
          <w:p w14:paraId="2D22994C"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20,141.00</w:t>
            </w:r>
          </w:p>
        </w:tc>
        <w:tc>
          <w:tcPr>
            <w:tcW w:w="0" w:type="auto"/>
            <w:vAlign w:val="center"/>
            <w:hideMark/>
          </w:tcPr>
          <w:p w14:paraId="235FD18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2DF6D90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17.43</w:t>
            </w:r>
          </w:p>
        </w:tc>
        <w:tc>
          <w:tcPr>
            <w:tcW w:w="0" w:type="auto"/>
            <w:vAlign w:val="center"/>
            <w:hideMark/>
          </w:tcPr>
          <w:p w14:paraId="71EFB97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42,158.43</w:t>
            </w:r>
          </w:p>
        </w:tc>
      </w:tr>
      <w:tr w:rsidR="00AD1E81" w:rsidRPr="00AD1E81" w14:paraId="4B9E2EFC" w14:textId="77777777" w:rsidTr="00AD1E81">
        <w:trPr>
          <w:tblCellSpacing w:w="15" w:type="dxa"/>
        </w:trPr>
        <w:tc>
          <w:tcPr>
            <w:tcW w:w="0" w:type="auto"/>
            <w:vAlign w:val="center"/>
            <w:hideMark/>
          </w:tcPr>
          <w:p w14:paraId="0F914B2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w:t>
            </w:r>
          </w:p>
        </w:tc>
        <w:tc>
          <w:tcPr>
            <w:tcW w:w="0" w:type="auto"/>
            <w:vAlign w:val="center"/>
            <w:hideMark/>
          </w:tcPr>
          <w:p w14:paraId="53FD1A97"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Shuklaphanta</w:t>
            </w:r>
            <w:proofErr w:type="spellEnd"/>
            <w:r w:rsidRPr="00AD1E81">
              <w:rPr>
                <w:rFonts w:ascii="Times New Roman" w:eastAsia="Times New Roman" w:hAnsi="Times New Roman" w:cs="Times New Roman"/>
                <w:kern w:val="0"/>
                <w:sz w:val="24"/>
                <w:szCs w:val="24"/>
                <w14:ligatures w14:val="none"/>
              </w:rPr>
              <w:t xml:space="preserve"> National Park, </w:t>
            </w:r>
            <w:proofErr w:type="spellStart"/>
            <w:r w:rsidRPr="00AD1E81">
              <w:rPr>
                <w:rFonts w:ascii="Times New Roman" w:eastAsia="Times New Roman" w:hAnsi="Times New Roman" w:cs="Times New Roman"/>
                <w:kern w:val="0"/>
                <w:sz w:val="24"/>
                <w:szCs w:val="24"/>
                <w14:ligatures w14:val="none"/>
              </w:rPr>
              <w:t>Mahendranagar</w:t>
            </w:r>
            <w:proofErr w:type="spellEnd"/>
          </w:p>
        </w:tc>
        <w:tc>
          <w:tcPr>
            <w:tcW w:w="0" w:type="auto"/>
            <w:vAlign w:val="center"/>
            <w:hideMark/>
          </w:tcPr>
          <w:p w14:paraId="2FF203A0"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Sudurpaschim</w:t>
            </w:r>
            <w:proofErr w:type="spellEnd"/>
          </w:p>
        </w:tc>
        <w:tc>
          <w:tcPr>
            <w:tcW w:w="0" w:type="auto"/>
            <w:vAlign w:val="center"/>
            <w:hideMark/>
          </w:tcPr>
          <w:p w14:paraId="7281D2C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20,229.40</w:t>
            </w:r>
          </w:p>
        </w:tc>
        <w:tc>
          <w:tcPr>
            <w:tcW w:w="0" w:type="auto"/>
            <w:vAlign w:val="center"/>
            <w:hideMark/>
          </w:tcPr>
          <w:p w14:paraId="797F612C"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4,120.60</w:t>
            </w:r>
          </w:p>
        </w:tc>
        <w:tc>
          <w:tcPr>
            <w:tcW w:w="0" w:type="auto"/>
            <w:vAlign w:val="center"/>
            <w:hideMark/>
          </w:tcPr>
          <w:p w14:paraId="26BFC933"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269678E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75A810EC"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24,350.00</w:t>
            </w:r>
          </w:p>
        </w:tc>
      </w:tr>
    </w:tbl>
    <w:p w14:paraId="29287BD4" w14:textId="77777777" w:rsidR="00AD1E81" w:rsidRPr="001C1EBF" w:rsidRDefault="00AD1E81" w:rsidP="00AD1E81">
      <w:pPr>
        <w:spacing w:before="100" w:beforeAutospacing="1" w:after="100" w:afterAutospacing="1" w:line="240" w:lineRule="auto"/>
        <w:outlineLvl w:val="2"/>
        <w:rPr>
          <w:rFonts w:ascii="Times New Roman" w:eastAsia="Times New Roman" w:hAnsi="Times New Roman" w:cs="Times New Roman"/>
          <w:i/>
          <w:iCs/>
          <w:kern w:val="0"/>
          <w:sz w:val="24"/>
          <w:szCs w:val="24"/>
          <w14:ligatures w14:val="none"/>
        </w:rPr>
      </w:pPr>
    </w:p>
    <w:p w14:paraId="648417F6" w14:textId="56B642AB"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4.2 Divisional Forest Offices – Annual Investment Plan &amp; Forest Area</w:t>
      </w:r>
    </w:p>
    <w:p w14:paraId="72B53476" w14:textId="77777777" w:rsidR="00AD1E81" w:rsidRPr="001C1EBF" w:rsidRDefault="00AD1E81" w:rsidP="00AD1E8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A combined </w:t>
      </w:r>
      <w:r w:rsidRPr="00AD1E81">
        <w:rPr>
          <w:rFonts w:ascii="Times New Roman" w:eastAsia="Times New Roman" w:hAnsi="Times New Roman" w:cs="Times New Roman"/>
          <w:b/>
          <w:bCs/>
          <w:kern w:val="0"/>
          <w:sz w:val="24"/>
          <w:szCs w:val="24"/>
          <w14:ligatures w14:val="none"/>
        </w:rPr>
        <w:t>834,301.76 ha</w:t>
      </w:r>
      <w:r w:rsidRPr="00AD1E81">
        <w:rPr>
          <w:rFonts w:ascii="Times New Roman" w:eastAsia="Times New Roman" w:hAnsi="Times New Roman" w:cs="Times New Roman"/>
          <w:kern w:val="0"/>
          <w:sz w:val="24"/>
          <w:szCs w:val="24"/>
          <w14:ligatures w14:val="none"/>
        </w:rPr>
        <w:t xml:space="preserve"> of forests across 16 DFOs are under the ERP.</w:t>
      </w:r>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432"/>
        <w:gridCol w:w="1942"/>
        <w:gridCol w:w="1207"/>
        <w:gridCol w:w="811"/>
        <w:gridCol w:w="811"/>
        <w:gridCol w:w="929"/>
        <w:gridCol w:w="850"/>
        <w:gridCol w:w="811"/>
        <w:gridCol w:w="951"/>
        <w:gridCol w:w="976"/>
      </w:tblGrid>
      <w:tr w:rsidR="00AD1E81" w:rsidRPr="00AD1E81" w14:paraId="6778C387" w14:textId="77777777" w:rsidTr="00AD1E81">
        <w:trPr>
          <w:tblHeader/>
          <w:tblCellSpacing w:w="15" w:type="dxa"/>
        </w:trPr>
        <w:tc>
          <w:tcPr>
            <w:tcW w:w="0" w:type="auto"/>
            <w:vAlign w:val="center"/>
            <w:hideMark/>
          </w:tcPr>
          <w:p w14:paraId="0F2B4AC7"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S.N.</w:t>
            </w:r>
          </w:p>
        </w:tc>
        <w:tc>
          <w:tcPr>
            <w:tcW w:w="0" w:type="auto"/>
            <w:vAlign w:val="center"/>
            <w:hideMark/>
          </w:tcPr>
          <w:p w14:paraId="0AE074A9"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DFO</w:t>
            </w:r>
          </w:p>
        </w:tc>
        <w:tc>
          <w:tcPr>
            <w:tcW w:w="0" w:type="auto"/>
            <w:vAlign w:val="center"/>
            <w:hideMark/>
          </w:tcPr>
          <w:p w14:paraId="5FE82BFE"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Province</w:t>
            </w:r>
          </w:p>
        </w:tc>
        <w:tc>
          <w:tcPr>
            <w:tcW w:w="0" w:type="auto"/>
            <w:vAlign w:val="center"/>
            <w:hideMark/>
          </w:tcPr>
          <w:p w14:paraId="68EC9CBE"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CF</w:t>
            </w:r>
          </w:p>
        </w:tc>
        <w:tc>
          <w:tcPr>
            <w:tcW w:w="0" w:type="auto"/>
            <w:vAlign w:val="center"/>
            <w:hideMark/>
          </w:tcPr>
          <w:p w14:paraId="58460D53"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PF</w:t>
            </w:r>
          </w:p>
        </w:tc>
        <w:tc>
          <w:tcPr>
            <w:tcW w:w="0" w:type="auto"/>
            <w:vAlign w:val="center"/>
            <w:hideMark/>
          </w:tcPr>
          <w:p w14:paraId="1279FD00"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Leasehold</w:t>
            </w:r>
          </w:p>
        </w:tc>
        <w:tc>
          <w:tcPr>
            <w:tcW w:w="0" w:type="auto"/>
            <w:vAlign w:val="center"/>
            <w:hideMark/>
          </w:tcPr>
          <w:p w14:paraId="6CEBA64A"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Religious</w:t>
            </w:r>
          </w:p>
        </w:tc>
        <w:tc>
          <w:tcPr>
            <w:tcW w:w="0" w:type="auto"/>
            <w:vAlign w:val="center"/>
            <w:hideMark/>
          </w:tcPr>
          <w:p w14:paraId="2757550D"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Private Forest</w:t>
            </w:r>
          </w:p>
        </w:tc>
        <w:tc>
          <w:tcPr>
            <w:tcW w:w="0" w:type="auto"/>
            <w:vAlign w:val="center"/>
            <w:hideMark/>
          </w:tcPr>
          <w:p w14:paraId="5C66AA6A" w14:textId="77777777" w:rsidR="00AD1E81" w:rsidRPr="00AD1E81" w:rsidRDefault="00AD1E81" w:rsidP="00AD1E81">
            <w:pPr>
              <w:spacing w:after="0" w:line="240" w:lineRule="auto"/>
              <w:jc w:val="center"/>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Plantation</w:t>
            </w:r>
          </w:p>
        </w:tc>
        <w:tc>
          <w:tcPr>
            <w:tcW w:w="0" w:type="auto"/>
            <w:vAlign w:val="center"/>
            <w:hideMark/>
          </w:tcPr>
          <w:p w14:paraId="69A4846A" w14:textId="77777777" w:rsidR="00AD1E81" w:rsidRPr="00AD1E81" w:rsidRDefault="00AD1E81" w:rsidP="00AD1E81">
            <w:pPr>
              <w:spacing w:after="0" w:line="240" w:lineRule="auto"/>
              <w:ind w:right="-760"/>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Total</w:t>
            </w:r>
          </w:p>
        </w:tc>
      </w:tr>
      <w:tr w:rsidR="00AD1E81" w:rsidRPr="00AD1E81" w14:paraId="4F898901" w14:textId="77777777" w:rsidTr="00AD1E81">
        <w:trPr>
          <w:tblCellSpacing w:w="15" w:type="dxa"/>
        </w:trPr>
        <w:tc>
          <w:tcPr>
            <w:tcW w:w="0" w:type="auto"/>
            <w:vAlign w:val="center"/>
            <w:hideMark/>
          </w:tcPr>
          <w:p w14:paraId="1EF1F6E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w:t>
            </w:r>
          </w:p>
        </w:tc>
        <w:tc>
          <w:tcPr>
            <w:tcW w:w="0" w:type="auto"/>
            <w:vAlign w:val="center"/>
            <w:hideMark/>
          </w:tcPr>
          <w:p w14:paraId="43999BC3"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Rautahat</w:t>
            </w:r>
            <w:proofErr w:type="spellEnd"/>
          </w:p>
        </w:tc>
        <w:tc>
          <w:tcPr>
            <w:tcW w:w="0" w:type="auto"/>
            <w:vAlign w:val="center"/>
            <w:hideMark/>
          </w:tcPr>
          <w:p w14:paraId="76F9693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Madhesh</w:t>
            </w:r>
          </w:p>
        </w:tc>
        <w:tc>
          <w:tcPr>
            <w:tcW w:w="0" w:type="auto"/>
            <w:vAlign w:val="center"/>
            <w:hideMark/>
          </w:tcPr>
          <w:p w14:paraId="594774D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8257.14</w:t>
            </w:r>
          </w:p>
        </w:tc>
        <w:tc>
          <w:tcPr>
            <w:tcW w:w="0" w:type="auto"/>
            <w:vAlign w:val="center"/>
            <w:hideMark/>
          </w:tcPr>
          <w:p w14:paraId="25597B8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11927.97</w:t>
            </w:r>
          </w:p>
        </w:tc>
        <w:tc>
          <w:tcPr>
            <w:tcW w:w="0" w:type="auto"/>
            <w:vAlign w:val="center"/>
            <w:hideMark/>
          </w:tcPr>
          <w:p w14:paraId="74E4985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00B571E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BDFE0EB"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66C47914"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1052.92</w:t>
            </w:r>
          </w:p>
        </w:tc>
        <w:tc>
          <w:tcPr>
            <w:tcW w:w="0" w:type="auto"/>
            <w:vAlign w:val="center"/>
            <w:hideMark/>
          </w:tcPr>
          <w:p w14:paraId="1A65D42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29,469.19</w:t>
            </w:r>
          </w:p>
        </w:tc>
      </w:tr>
      <w:tr w:rsidR="00AD1E81" w:rsidRPr="00AD1E81" w14:paraId="31424C42" w14:textId="77777777" w:rsidTr="00AD1E81">
        <w:trPr>
          <w:tblCellSpacing w:w="15" w:type="dxa"/>
        </w:trPr>
        <w:tc>
          <w:tcPr>
            <w:tcW w:w="0" w:type="auto"/>
            <w:vAlign w:val="center"/>
            <w:hideMark/>
          </w:tcPr>
          <w:p w14:paraId="6A59D037"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w:t>
            </w:r>
          </w:p>
        </w:tc>
        <w:tc>
          <w:tcPr>
            <w:tcW w:w="0" w:type="auto"/>
            <w:vAlign w:val="center"/>
            <w:hideMark/>
          </w:tcPr>
          <w:p w14:paraId="1295BA8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Bara</w:t>
            </w:r>
          </w:p>
        </w:tc>
        <w:tc>
          <w:tcPr>
            <w:tcW w:w="0" w:type="auto"/>
            <w:vAlign w:val="center"/>
            <w:hideMark/>
          </w:tcPr>
          <w:p w14:paraId="152294A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Madhesh</w:t>
            </w:r>
          </w:p>
        </w:tc>
        <w:tc>
          <w:tcPr>
            <w:tcW w:w="0" w:type="auto"/>
            <w:vAlign w:val="center"/>
            <w:hideMark/>
          </w:tcPr>
          <w:p w14:paraId="6AACC36C"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10575.08</w:t>
            </w:r>
          </w:p>
        </w:tc>
        <w:tc>
          <w:tcPr>
            <w:tcW w:w="0" w:type="auto"/>
            <w:vAlign w:val="center"/>
            <w:hideMark/>
          </w:tcPr>
          <w:p w14:paraId="00D1E56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10368.81</w:t>
            </w:r>
          </w:p>
        </w:tc>
        <w:tc>
          <w:tcPr>
            <w:tcW w:w="0" w:type="auto"/>
            <w:vAlign w:val="center"/>
            <w:hideMark/>
          </w:tcPr>
          <w:p w14:paraId="0F5A216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0FBFE10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F28BDD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6908DA8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13B5672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31,191.00</w:t>
            </w:r>
          </w:p>
        </w:tc>
      </w:tr>
      <w:tr w:rsidR="00AD1E81" w:rsidRPr="00AD1E81" w14:paraId="3BA194BB" w14:textId="77777777" w:rsidTr="00AD1E81">
        <w:trPr>
          <w:tblCellSpacing w:w="15" w:type="dxa"/>
        </w:trPr>
        <w:tc>
          <w:tcPr>
            <w:tcW w:w="0" w:type="auto"/>
            <w:vAlign w:val="center"/>
            <w:hideMark/>
          </w:tcPr>
          <w:p w14:paraId="57744FB3"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3</w:t>
            </w:r>
          </w:p>
        </w:tc>
        <w:tc>
          <w:tcPr>
            <w:tcW w:w="0" w:type="auto"/>
            <w:vAlign w:val="center"/>
            <w:hideMark/>
          </w:tcPr>
          <w:p w14:paraId="24226A0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Parsa</w:t>
            </w:r>
          </w:p>
        </w:tc>
        <w:tc>
          <w:tcPr>
            <w:tcW w:w="0" w:type="auto"/>
            <w:vAlign w:val="center"/>
            <w:hideMark/>
          </w:tcPr>
          <w:p w14:paraId="574B87BB"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Madhesh</w:t>
            </w:r>
          </w:p>
        </w:tc>
        <w:tc>
          <w:tcPr>
            <w:tcW w:w="0" w:type="auto"/>
            <w:vAlign w:val="center"/>
            <w:hideMark/>
          </w:tcPr>
          <w:p w14:paraId="07A2F950"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7151.00</w:t>
            </w:r>
          </w:p>
        </w:tc>
        <w:tc>
          <w:tcPr>
            <w:tcW w:w="0" w:type="auto"/>
            <w:vAlign w:val="center"/>
            <w:hideMark/>
          </w:tcPr>
          <w:p w14:paraId="12432684"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11850.56</w:t>
            </w:r>
          </w:p>
        </w:tc>
        <w:tc>
          <w:tcPr>
            <w:tcW w:w="0" w:type="auto"/>
            <w:vAlign w:val="center"/>
            <w:hideMark/>
          </w:tcPr>
          <w:p w14:paraId="35294F20"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0CCD48C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3A6ED9E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9AB6A2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5014738C"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19,001.56</w:t>
            </w:r>
          </w:p>
        </w:tc>
      </w:tr>
      <w:tr w:rsidR="00AD1E81" w:rsidRPr="00AD1E81" w14:paraId="5AA1A2B7" w14:textId="77777777" w:rsidTr="00AD1E81">
        <w:trPr>
          <w:tblCellSpacing w:w="15" w:type="dxa"/>
        </w:trPr>
        <w:tc>
          <w:tcPr>
            <w:tcW w:w="0" w:type="auto"/>
            <w:vAlign w:val="center"/>
            <w:hideMark/>
          </w:tcPr>
          <w:p w14:paraId="40D39FB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4</w:t>
            </w:r>
          </w:p>
        </w:tc>
        <w:tc>
          <w:tcPr>
            <w:tcW w:w="0" w:type="auto"/>
            <w:vAlign w:val="center"/>
            <w:hideMark/>
          </w:tcPr>
          <w:p w14:paraId="11A37B97"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Chitwan</w:t>
            </w:r>
          </w:p>
        </w:tc>
        <w:tc>
          <w:tcPr>
            <w:tcW w:w="0" w:type="auto"/>
            <w:vAlign w:val="center"/>
            <w:hideMark/>
          </w:tcPr>
          <w:p w14:paraId="47C8FB3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Bagmati</w:t>
            </w:r>
          </w:p>
        </w:tc>
        <w:tc>
          <w:tcPr>
            <w:tcW w:w="0" w:type="auto"/>
            <w:vAlign w:val="center"/>
            <w:hideMark/>
          </w:tcPr>
          <w:p w14:paraId="045B338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23309.67</w:t>
            </w:r>
          </w:p>
        </w:tc>
        <w:tc>
          <w:tcPr>
            <w:tcW w:w="0" w:type="auto"/>
            <w:vAlign w:val="center"/>
            <w:hideMark/>
          </w:tcPr>
          <w:p w14:paraId="39D43F6C"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1E91DE5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1454.64</w:t>
            </w:r>
          </w:p>
        </w:tc>
        <w:tc>
          <w:tcPr>
            <w:tcW w:w="0" w:type="auto"/>
            <w:vAlign w:val="center"/>
            <w:hideMark/>
          </w:tcPr>
          <w:p w14:paraId="5D0C5E3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29.85</w:t>
            </w:r>
          </w:p>
        </w:tc>
        <w:tc>
          <w:tcPr>
            <w:tcW w:w="0" w:type="auto"/>
            <w:vAlign w:val="center"/>
            <w:hideMark/>
          </w:tcPr>
          <w:p w14:paraId="3E883CC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10302.00</w:t>
            </w:r>
          </w:p>
        </w:tc>
        <w:tc>
          <w:tcPr>
            <w:tcW w:w="0" w:type="auto"/>
            <w:vAlign w:val="center"/>
            <w:hideMark/>
          </w:tcPr>
          <w:p w14:paraId="0B915AD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6257BAA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57,650.00</w:t>
            </w:r>
          </w:p>
        </w:tc>
      </w:tr>
      <w:tr w:rsidR="00AD1E81" w:rsidRPr="00AD1E81" w14:paraId="2E538A40" w14:textId="77777777" w:rsidTr="00AD1E81">
        <w:trPr>
          <w:tblCellSpacing w:w="15" w:type="dxa"/>
        </w:trPr>
        <w:tc>
          <w:tcPr>
            <w:tcW w:w="0" w:type="auto"/>
            <w:vAlign w:val="center"/>
            <w:hideMark/>
          </w:tcPr>
          <w:p w14:paraId="05EC29D7"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w:t>
            </w:r>
          </w:p>
        </w:tc>
        <w:tc>
          <w:tcPr>
            <w:tcW w:w="0" w:type="auto"/>
            <w:vAlign w:val="center"/>
            <w:hideMark/>
          </w:tcPr>
          <w:p w14:paraId="500DCB0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Nawalpur</w:t>
            </w:r>
            <w:proofErr w:type="spellEnd"/>
          </w:p>
        </w:tc>
        <w:tc>
          <w:tcPr>
            <w:tcW w:w="0" w:type="auto"/>
            <w:vAlign w:val="center"/>
            <w:hideMark/>
          </w:tcPr>
          <w:p w14:paraId="3C32FF5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Gandaki</w:t>
            </w:r>
          </w:p>
        </w:tc>
        <w:tc>
          <w:tcPr>
            <w:tcW w:w="0" w:type="auto"/>
            <w:vAlign w:val="center"/>
            <w:hideMark/>
          </w:tcPr>
          <w:p w14:paraId="0B7BB6F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39850.74</w:t>
            </w:r>
          </w:p>
        </w:tc>
        <w:tc>
          <w:tcPr>
            <w:tcW w:w="0" w:type="auto"/>
            <w:vAlign w:val="center"/>
            <w:hideMark/>
          </w:tcPr>
          <w:p w14:paraId="2426878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672.86</w:t>
            </w:r>
          </w:p>
        </w:tc>
        <w:tc>
          <w:tcPr>
            <w:tcW w:w="0" w:type="auto"/>
            <w:vAlign w:val="center"/>
            <w:hideMark/>
          </w:tcPr>
          <w:p w14:paraId="75294A0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1956.00</w:t>
            </w:r>
          </w:p>
        </w:tc>
        <w:tc>
          <w:tcPr>
            <w:tcW w:w="0" w:type="auto"/>
            <w:vAlign w:val="center"/>
            <w:hideMark/>
          </w:tcPr>
          <w:p w14:paraId="4C0A23D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3C0EEB5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2368485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72AB3D17"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68,476.77</w:t>
            </w:r>
          </w:p>
        </w:tc>
      </w:tr>
      <w:tr w:rsidR="00AD1E81" w:rsidRPr="00AD1E81" w14:paraId="509509C4" w14:textId="77777777" w:rsidTr="00AD1E81">
        <w:trPr>
          <w:tblCellSpacing w:w="15" w:type="dxa"/>
        </w:trPr>
        <w:tc>
          <w:tcPr>
            <w:tcW w:w="0" w:type="auto"/>
            <w:vAlign w:val="center"/>
            <w:hideMark/>
          </w:tcPr>
          <w:p w14:paraId="55EB8C7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6</w:t>
            </w:r>
          </w:p>
        </w:tc>
        <w:tc>
          <w:tcPr>
            <w:tcW w:w="0" w:type="auto"/>
            <w:vAlign w:val="center"/>
            <w:hideMark/>
          </w:tcPr>
          <w:p w14:paraId="4879B668"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Parasi</w:t>
            </w:r>
            <w:proofErr w:type="spellEnd"/>
          </w:p>
        </w:tc>
        <w:tc>
          <w:tcPr>
            <w:tcW w:w="0" w:type="auto"/>
            <w:vAlign w:val="center"/>
            <w:hideMark/>
          </w:tcPr>
          <w:p w14:paraId="00579E8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Lumbini</w:t>
            </w:r>
          </w:p>
        </w:tc>
        <w:tc>
          <w:tcPr>
            <w:tcW w:w="0" w:type="auto"/>
            <w:vAlign w:val="center"/>
            <w:hideMark/>
          </w:tcPr>
          <w:p w14:paraId="3C6A813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10278.30</w:t>
            </w:r>
          </w:p>
        </w:tc>
        <w:tc>
          <w:tcPr>
            <w:tcW w:w="0" w:type="auto"/>
            <w:vAlign w:val="center"/>
            <w:hideMark/>
          </w:tcPr>
          <w:p w14:paraId="5CEB9D0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1204.10</w:t>
            </w:r>
          </w:p>
        </w:tc>
        <w:tc>
          <w:tcPr>
            <w:tcW w:w="0" w:type="auto"/>
            <w:vAlign w:val="center"/>
            <w:hideMark/>
          </w:tcPr>
          <w:p w14:paraId="55F313EB"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694FEF1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9.00</w:t>
            </w:r>
          </w:p>
        </w:tc>
        <w:tc>
          <w:tcPr>
            <w:tcW w:w="0" w:type="auto"/>
            <w:vAlign w:val="center"/>
            <w:hideMark/>
          </w:tcPr>
          <w:p w14:paraId="3A93511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099D69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68CB0BE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21,808.00</w:t>
            </w:r>
          </w:p>
        </w:tc>
      </w:tr>
      <w:tr w:rsidR="00AD1E81" w:rsidRPr="00AD1E81" w14:paraId="343F28E3" w14:textId="77777777" w:rsidTr="00AD1E81">
        <w:trPr>
          <w:tblCellSpacing w:w="15" w:type="dxa"/>
        </w:trPr>
        <w:tc>
          <w:tcPr>
            <w:tcW w:w="0" w:type="auto"/>
            <w:vAlign w:val="center"/>
            <w:hideMark/>
          </w:tcPr>
          <w:p w14:paraId="00A4846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7</w:t>
            </w:r>
          </w:p>
        </w:tc>
        <w:tc>
          <w:tcPr>
            <w:tcW w:w="0" w:type="auto"/>
            <w:vAlign w:val="center"/>
            <w:hideMark/>
          </w:tcPr>
          <w:p w14:paraId="427892A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Rupandehi</w:t>
            </w:r>
            <w:proofErr w:type="spellEnd"/>
          </w:p>
        </w:tc>
        <w:tc>
          <w:tcPr>
            <w:tcW w:w="0" w:type="auto"/>
            <w:vAlign w:val="center"/>
            <w:hideMark/>
          </w:tcPr>
          <w:p w14:paraId="269FCB38"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Lumbini</w:t>
            </w:r>
          </w:p>
        </w:tc>
        <w:tc>
          <w:tcPr>
            <w:tcW w:w="0" w:type="auto"/>
            <w:vAlign w:val="center"/>
            <w:hideMark/>
          </w:tcPr>
          <w:p w14:paraId="5B43F683"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16562.46</w:t>
            </w:r>
          </w:p>
        </w:tc>
        <w:tc>
          <w:tcPr>
            <w:tcW w:w="0" w:type="auto"/>
            <w:vAlign w:val="center"/>
            <w:hideMark/>
          </w:tcPr>
          <w:p w14:paraId="5954F14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2085.24</w:t>
            </w:r>
          </w:p>
        </w:tc>
        <w:tc>
          <w:tcPr>
            <w:tcW w:w="0" w:type="auto"/>
            <w:vAlign w:val="center"/>
            <w:hideMark/>
          </w:tcPr>
          <w:p w14:paraId="2AB8398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78830378"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27.47</w:t>
            </w:r>
          </w:p>
        </w:tc>
        <w:tc>
          <w:tcPr>
            <w:tcW w:w="0" w:type="auto"/>
            <w:vAlign w:val="center"/>
            <w:hideMark/>
          </w:tcPr>
          <w:p w14:paraId="55290B3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22A09AF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0666E3D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25,105.00</w:t>
            </w:r>
          </w:p>
        </w:tc>
      </w:tr>
      <w:tr w:rsidR="00AD1E81" w:rsidRPr="00AD1E81" w14:paraId="5CCE3445" w14:textId="77777777" w:rsidTr="00AD1E81">
        <w:trPr>
          <w:tblCellSpacing w:w="15" w:type="dxa"/>
        </w:trPr>
        <w:tc>
          <w:tcPr>
            <w:tcW w:w="0" w:type="auto"/>
            <w:vAlign w:val="center"/>
            <w:hideMark/>
          </w:tcPr>
          <w:p w14:paraId="7610636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8</w:t>
            </w:r>
          </w:p>
        </w:tc>
        <w:tc>
          <w:tcPr>
            <w:tcW w:w="0" w:type="auto"/>
            <w:vAlign w:val="center"/>
            <w:hideMark/>
          </w:tcPr>
          <w:p w14:paraId="6DC1750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Lumbini/</w:t>
            </w:r>
            <w:proofErr w:type="spellStart"/>
            <w:r w:rsidRPr="00AD1E81">
              <w:rPr>
                <w:rFonts w:ascii="Times New Roman" w:eastAsia="Times New Roman" w:hAnsi="Times New Roman" w:cs="Times New Roman"/>
                <w:kern w:val="0"/>
                <w:sz w:val="24"/>
                <w:szCs w:val="24"/>
                <w14:ligatures w14:val="none"/>
              </w:rPr>
              <w:t>Buddhabhumi</w:t>
            </w:r>
            <w:proofErr w:type="spellEnd"/>
          </w:p>
        </w:tc>
        <w:tc>
          <w:tcPr>
            <w:tcW w:w="0" w:type="auto"/>
            <w:vAlign w:val="center"/>
            <w:hideMark/>
          </w:tcPr>
          <w:p w14:paraId="31B4547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Lumbini</w:t>
            </w:r>
          </w:p>
        </w:tc>
        <w:tc>
          <w:tcPr>
            <w:tcW w:w="0" w:type="auto"/>
            <w:vAlign w:val="center"/>
            <w:hideMark/>
          </w:tcPr>
          <w:p w14:paraId="6E18D32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12844.94</w:t>
            </w:r>
          </w:p>
        </w:tc>
        <w:tc>
          <w:tcPr>
            <w:tcW w:w="0" w:type="auto"/>
            <w:vAlign w:val="center"/>
            <w:hideMark/>
          </w:tcPr>
          <w:p w14:paraId="4969B0B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8447.84</w:t>
            </w:r>
          </w:p>
        </w:tc>
        <w:tc>
          <w:tcPr>
            <w:tcW w:w="0" w:type="auto"/>
            <w:vAlign w:val="center"/>
            <w:hideMark/>
          </w:tcPr>
          <w:p w14:paraId="76AE7C1B"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1EDC0728"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200.95</w:t>
            </w:r>
          </w:p>
        </w:tc>
        <w:tc>
          <w:tcPr>
            <w:tcW w:w="0" w:type="auto"/>
            <w:vAlign w:val="center"/>
            <w:hideMark/>
          </w:tcPr>
          <w:p w14:paraId="7A0B3A0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1BBD4C93"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82F61F8"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21,493.73</w:t>
            </w:r>
          </w:p>
        </w:tc>
      </w:tr>
      <w:tr w:rsidR="00AD1E81" w:rsidRPr="00AD1E81" w14:paraId="2E5C572F" w14:textId="77777777" w:rsidTr="00AD1E81">
        <w:trPr>
          <w:tblCellSpacing w:w="15" w:type="dxa"/>
        </w:trPr>
        <w:tc>
          <w:tcPr>
            <w:tcW w:w="0" w:type="auto"/>
            <w:vAlign w:val="center"/>
            <w:hideMark/>
          </w:tcPr>
          <w:p w14:paraId="6DB8185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9</w:t>
            </w:r>
          </w:p>
        </w:tc>
        <w:tc>
          <w:tcPr>
            <w:tcW w:w="0" w:type="auto"/>
            <w:vAlign w:val="center"/>
            <w:hideMark/>
          </w:tcPr>
          <w:p w14:paraId="4A8B140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Ghorahi</w:t>
            </w:r>
            <w:proofErr w:type="spellEnd"/>
          </w:p>
        </w:tc>
        <w:tc>
          <w:tcPr>
            <w:tcW w:w="0" w:type="auto"/>
            <w:vAlign w:val="center"/>
            <w:hideMark/>
          </w:tcPr>
          <w:p w14:paraId="548B4600"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Lumbini</w:t>
            </w:r>
          </w:p>
        </w:tc>
        <w:tc>
          <w:tcPr>
            <w:tcW w:w="0" w:type="auto"/>
            <w:vAlign w:val="center"/>
            <w:hideMark/>
          </w:tcPr>
          <w:p w14:paraId="7E094D7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60586.70</w:t>
            </w:r>
          </w:p>
        </w:tc>
        <w:tc>
          <w:tcPr>
            <w:tcW w:w="0" w:type="auto"/>
            <w:vAlign w:val="center"/>
            <w:hideMark/>
          </w:tcPr>
          <w:p w14:paraId="45ED6B14"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031B58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E0EF9E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112.52</w:t>
            </w:r>
          </w:p>
        </w:tc>
        <w:tc>
          <w:tcPr>
            <w:tcW w:w="0" w:type="auto"/>
            <w:vAlign w:val="center"/>
            <w:hideMark/>
          </w:tcPr>
          <w:p w14:paraId="2F94F8CB"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0119453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181DF3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84,273.22</w:t>
            </w:r>
          </w:p>
        </w:tc>
      </w:tr>
      <w:tr w:rsidR="00AD1E81" w:rsidRPr="00AD1E81" w14:paraId="5069A625" w14:textId="77777777" w:rsidTr="00AD1E81">
        <w:trPr>
          <w:tblCellSpacing w:w="15" w:type="dxa"/>
        </w:trPr>
        <w:tc>
          <w:tcPr>
            <w:tcW w:w="0" w:type="auto"/>
            <w:vAlign w:val="center"/>
            <w:hideMark/>
          </w:tcPr>
          <w:p w14:paraId="2789791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10</w:t>
            </w:r>
          </w:p>
        </w:tc>
        <w:tc>
          <w:tcPr>
            <w:tcW w:w="0" w:type="auto"/>
            <w:vAlign w:val="center"/>
            <w:hideMark/>
          </w:tcPr>
          <w:p w14:paraId="5FF7717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Deukhuri</w:t>
            </w:r>
            <w:proofErr w:type="spellEnd"/>
          </w:p>
        </w:tc>
        <w:tc>
          <w:tcPr>
            <w:tcW w:w="0" w:type="auto"/>
            <w:vAlign w:val="center"/>
            <w:hideMark/>
          </w:tcPr>
          <w:p w14:paraId="32C8198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Lumbini</w:t>
            </w:r>
          </w:p>
        </w:tc>
        <w:tc>
          <w:tcPr>
            <w:tcW w:w="0" w:type="auto"/>
            <w:vAlign w:val="center"/>
            <w:hideMark/>
          </w:tcPr>
          <w:p w14:paraId="418908B8"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54460.00</w:t>
            </w:r>
          </w:p>
        </w:tc>
        <w:tc>
          <w:tcPr>
            <w:tcW w:w="0" w:type="auto"/>
            <w:vAlign w:val="center"/>
            <w:hideMark/>
          </w:tcPr>
          <w:p w14:paraId="4120542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10497028"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6C60580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38.50</w:t>
            </w:r>
          </w:p>
        </w:tc>
        <w:tc>
          <w:tcPr>
            <w:tcW w:w="0" w:type="auto"/>
            <w:vAlign w:val="center"/>
            <w:hideMark/>
          </w:tcPr>
          <w:p w14:paraId="471E699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57337.66</w:t>
            </w:r>
          </w:p>
        </w:tc>
        <w:tc>
          <w:tcPr>
            <w:tcW w:w="0" w:type="auto"/>
            <w:vAlign w:val="center"/>
            <w:hideMark/>
          </w:tcPr>
          <w:p w14:paraId="74C5F70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69A3EA8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111,836.16</w:t>
            </w:r>
          </w:p>
        </w:tc>
      </w:tr>
      <w:tr w:rsidR="00AD1E81" w:rsidRPr="00AD1E81" w14:paraId="31547887" w14:textId="77777777" w:rsidTr="00AD1E81">
        <w:trPr>
          <w:tblCellSpacing w:w="15" w:type="dxa"/>
        </w:trPr>
        <w:tc>
          <w:tcPr>
            <w:tcW w:w="0" w:type="auto"/>
            <w:vAlign w:val="center"/>
            <w:hideMark/>
          </w:tcPr>
          <w:p w14:paraId="0017B68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11</w:t>
            </w:r>
          </w:p>
        </w:tc>
        <w:tc>
          <w:tcPr>
            <w:tcW w:w="0" w:type="auto"/>
            <w:vAlign w:val="center"/>
            <w:hideMark/>
          </w:tcPr>
          <w:p w14:paraId="28C13D4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Banke</w:t>
            </w:r>
          </w:p>
        </w:tc>
        <w:tc>
          <w:tcPr>
            <w:tcW w:w="0" w:type="auto"/>
            <w:vAlign w:val="center"/>
            <w:hideMark/>
          </w:tcPr>
          <w:p w14:paraId="185841B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Lumbini</w:t>
            </w:r>
          </w:p>
        </w:tc>
        <w:tc>
          <w:tcPr>
            <w:tcW w:w="0" w:type="auto"/>
            <w:vAlign w:val="center"/>
            <w:hideMark/>
          </w:tcPr>
          <w:p w14:paraId="0CDD825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26118.58</w:t>
            </w:r>
          </w:p>
        </w:tc>
        <w:tc>
          <w:tcPr>
            <w:tcW w:w="0" w:type="auto"/>
            <w:vAlign w:val="center"/>
            <w:hideMark/>
          </w:tcPr>
          <w:p w14:paraId="28DEF9C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0D2253B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78F355D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97.71</w:t>
            </w:r>
          </w:p>
        </w:tc>
        <w:tc>
          <w:tcPr>
            <w:tcW w:w="0" w:type="auto"/>
            <w:vAlign w:val="center"/>
            <w:hideMark/>
          </w:tcPr>
          <w:p w14:paraId="2A30432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188D6F10"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04EA7343"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57,458.59</w:t>
            </w:r>
          </w:p>
        </w:tc>
      </w:tr>
      <w:tr w:rsidR="00AD1E81" w:rsidRPr="00AD1E81" w14:paraId="3AB620AE" w14:textId="77777777" w:rsidTr="00AD1E81">
        <w:trPr>
          <w:tblCellSpacing w:w="15" w:type="dxa"/>
        </w:trPr>
        <w:tc>
          <w:tcPr>
            <w:tcW w:w="0" w:type="auto"/>
            <w:vAlign w:val="center"/>
            <w:hideMark/>
          </w:tcPr>
          <w:p w14:paraId="10A0ACCF"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12</w:t>
            </w:r>
          </w:p>
        </w:tc>
        <w:tc>
          <w:tcPr>
            <w:tcW w:w="0" w:type="auto"/>
            <w:vAlign w:val="center"/>
            <w:hideMark/>
          </w:tcPr>
          <w:p w14:paraId="7F124BE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Bardiya</w:t>
            </w:r>
          </w:p>
        </w:tc>
        <w:tc>
          <w:tcPr>
            <w:tcW w:w="0" w:type="auto"/>
            <w:vAlign w:val="center"/>
            <w:hideMark/>
          </w:tcPr>
          <w:p w14:paraId="7BF6BA6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Lumbini</w:t>
            </w:r>
          </w:p>
        </w:tc>
        <w:tc>
          <w:tcPr>
            <w:tcW w:w="0" w:type="auto"/>
            <w:vAlign w:val="center"/>
            <w:hideMark/>
          </w:tcPr>
          <w:p w14:paraId="435ADBD0"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20629.86</w:t>
            </w:r>
          </w:p>
        </w:tc>
        <w:tc>
          <w:tcPr>
            <w:tcW w:w="0" w:type="auto"/>
            <w:vAlign w:val="center"/>
            <w:hideMark/>
          </w:tcPr>
          <w:p w14:paraId="0FAF89E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5C4A973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3497340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27B4BD3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5BCC2020"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0F9657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20,629.86</w:t>
            </w:r>
          </w:p>
        </w:tc>
      </w:tr>
      <w:tr w:rsidR="00AD1E81" w:rsidRPr="00AD1E81" w14:paraId="4BA19757" w14:textId="77777777" w:rsidTr="00AD1E81">
        <w:trPr>
          <w:tblCellSpacing w:w="15" w:type="dxa"/>
        </w:trPr>
        <w:tc>
          <w:tcPr>
            <w:tcW w:w="0" w:type="auto"/>
            <w:vAlign w:val="center"/>
            <w:hideMark/>
          </w:tcPr>
          <w:p w14:paraId="7810919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lastRenderedPageBreak/>
              <w:t>13</w:t>
            </w:r>
          </w:p>
        </w:tc>
        <w:tc>
          <w:tcPr>
            <w:tcW w:w="0" w:type="auto"/>
            <w:vAlign w:val="center"/>
            <w:hideMark/>
          </w:tcPr>
          <w:p w14:paraId="2EAF558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Kailali (</w:t>
            </w:r>
            <w:proofErr w:type="spellStart"/>
            <w:r w:rsidRPr="00AD1E81">
              <w:rPr>
                <w:rFonts w:ascii="Times New Roman" w:eastAsia="Times New Roman" w:hAnsi="Times New Roman" w:cs="Times New Roman"/>
                <w:kern w:val="0"/>
                <w:sz w:val="24"/>
                <w:szCs w:val="24"/>
                <w14:ligatures w14:val="none"/>
              </w:rPr>
              <w:t>Lamki</w:t>
            </w:r>
            <w:proofErr w:type="spellEnd"/>
            <w:r w:rsidRPr="00AD1E81">
              <w:rPr>
                <w:rFonts w:ascii="Times New Roman" w:eastAsia="Times New Roman" w:hAnsi="Times New Roman" w:cs="Times New Roman"/>
                <w:kern w:val="0"/>
                <w:sz w:val="24"/>
                <w:szCs w:val="24"/>
                <w14:ligatures w14:val="none"/>
              </w:rPr>
              <w:t>)</w:t>
            </w:r>
          </w:p>
        </w:tc>
        <w:tc>
          <w:tcPr>
            <w:tcW w:w="0" w:type="auto"/>
            <w:vAlign w:val="center"/>
            <w:hideMark/>
          </w:tcPr>
          <w:p w14:paraId="1770207D"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Sudurpaschim</w:t>
            </w:r>
            <w:proofErr w:type="spellEnd"/>
          </w:p>
        </w:tc>
        <w:tc>
          <w:tcPr>
            <w:tcW w:w="0" w:type="auto"/>
            <w:vAlign w:val="center"/>
            <w:hideMark/>
          </w:tcPr>
          <w:p w14:paraId="439B2118"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52250.00</w:t>
            </w:r>
          </w:p>
        </w:tc>
        <w:tc>
          <w:tcPr>
            <w:tcW w:w="0" w:type="auto"/>
            <w:vAlign w:val="center"/>
            <w:hideMark/>
          </w:tcPr>
          <w:p w14:paraId="31516CB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1BC4578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565EFF4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157539B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D32F36C"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36B151F3"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103,182.00</w:t>
            </w:r>
          </w:p>
        </w:tc>
      </w:tr>
      <w:tr w:rsidR="00AD1E81" w:rsidRPr="00AD1E81" w14:paraId="1253EB71" w14:textId="77777777" w:rsidTr="00AD1E81">
        <w:trPr>
          <w:tblCellSpacing w:w="15" w:type="dxa"/>
        </w:trPr>
        <w:tc>
          <w:tcPr>
            <w:tcW w:w="0" w:type="auto"/>
            <w:vAlign w:val="center"/>
            <w:hideMark/>
          </w:tcPr>
          <w:p w14:paraId="1137CA10"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14</w:t>
            </w:r>
          </w:p>
        </w:tc>
        <w:tc>
          <w:tcPr>
            <w:tcW w:w="0" w:type="auto"/>
            <w:vAlign w:val="center"/>
            <w:hideMark/>
          </w:tcPr>
          <w:p w14:paraId="244F790B"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Dhangadhi</w:t>
            </w:r>
            <w:proofErr w:type="spellEnd"/>
          </w:p>
        </w:tc>
        <w:tc>
          <w:tcPr>
            <w:tcW w:w="0" w:type="auto"/>
            <w:vAlign w:val="center"/>
            <w:hideMark/>
          </w:tcPr>
          <w:p w14:paraId="17E35B70"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Sudurpaschim</w:t>
            </w:r>
            <w:proofErr w:type="spellEnd"/>
          </w:p>
        </w:tc>
        <w:tc>
          <w:tcPr>
            <w:tcW w:w="0" w:type="auto"/>
            <w:vAlign w:val="center"/>
            <w:hideMark/>
          </w:tcPr>
          <w:p w14:paraId="0837934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48771.01</w:t>
            </w:r>
          </w:p>
        </w:tc>
        <w:tc>
          <w:tcPr>
            <w:tcW w:w="0" w:type="auto"/>
            <w:vAlign w:val="center"/>
            <w:hideMark/>
          </w:tcPr>
          <w:p w14:paraId="57190DF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7365.05</w:t>
            </w:r>
          </w:p>
        </w:tc>
        <w:tc>
          <w:tcPr>
            <w:tcW w:w="0" w:type="auto"/>
            <w:vAlign w:val="center"/>
            <w:hideMark/>
          </w:tcPr>
          <w:p w14:paraId="77397F0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58.00</w:t>
            </w:r>
          </w:p>
        </w:tc>
        <w:tc>
          <w:tcPr>
            <w:tcW w:w="0" w:type="auto"/>
            <w:vAlign w:val="center"/>
            <w:hideMark/>
          </w:tcPr>
          <w:p w14:paraId="73CB995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129.48</w:t>
            </w:r>
          </w:p>
        </w:tc>
        <w:tc>
          <w:tcPr>
            <w:tcW w:w="0" w:type="auto"/>
            <w:vAlign w:val="center"/>
            <w:hideMark/>
          </w:tcPr>
          <w:p w14:paraId="64C5ADD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0EAADCDC"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BE7AFE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96,172.06</w:t>
            </w:r>
          </w:p>
        </w:tc>
      </w:tr>
      <w:tr w:rsidR="00AD1E81" w:rsidRPr="00AD1E81" w14:paraId="0A5863D6" w14:textId="77777777" w:rsidTr="00AD1E81">
        <w:trPr>
          <w:tblCellSpacing w:w="15" w:type="dxa"/>
        </w:trPr>
        <w:tc>
          <w:tcPr>
            <w:tcW w:w="0" w:type="auto"/>
            <w:vAlign w:val="center"/>
            <w:hideMark/>
          </w:tcPr>
          <w:p w14:paraId="387BFC35"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15</w:t>
            </w:r>
          </w:p>
        </w:tc>
        <w:tc>
          <w:tcPr>
            <w:tcW w:w="0" w:type="auto"/>
            <w:vAlign w:val="center"/>
            <w:hideMark/>
          </w:tcPr>
          <w:p w14:paraId="078752E7"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Kanchanpur</w:t>
            </w:r>
            <w:proofErr w:type="spellEnd"/>
          </w:p>
        </w:tc>
        <w:tc>
          <w:tcPr>
            <w:tcW w:w="0" w:type="auto"/>
            <w:vAlign w:val="center"/>
            <w:hideMark/>
          </w:tcPr>
          <w:p w14:paraId="6D840CA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proofErr w:type="spellStart"/>
            <w:r w:rsidRPr="00AD1E81">
              <w:rPr>
                <w:rFonts w:ascii="Times New Roman" w:eastAsia="Times New Roman" w:hAnsi="Times New Roman" w:cs="Times New Roman"/>
                <w:kern w:val="0"/>
                <w:sz w:val="24"/>
                <w:szCs w:val="24"/>
                <w14:ligatures w14:val="none"/>
              </w:rPr>
              <w:t>Sudurpaschim</w:t>
            </w:r>
            <w:proofErr w:type="spellEnd"/>
          </w:p>
        </w:tc>
        <w:tc>
          <w:tcPr>
            <w:tcW w:w="0" w:type="auto"/>
            <w:vAlign w:val="center"/>
            <w:hideMark/>
          </w:tcPr>
          <w:p w14:paraId="7DE57CD6"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20410.50</w:t>
            </w:r>
          </w:p>
        </w:tc>
        <w:tc>
          <w:tcPr>
            <w:tcW w:w="0" w:type="auto"/>
            <w:vAlign w:val="center"/>
            <w:hideMark/>
          </w:tcPr>
          <w:p w14:paraId="67F323C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75B0D492"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1BD7DD3A"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434EBB09"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3E6A0E41"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t>
            </w:r>
          </w:p>
        </w:tc>
        <w:tc>
          <w:tcPr>
            <w:tcW w:w="0" w:type="auto"/>
            <w:vAlign w:val="center"/>
            <w:hideMark/>
          </w:tcPr>
          <w:p w14:paraId="05B1A01E" w14:textId="77777777" w:rsidR="00AD1E81" w:rsidRPr="00AD1E81" w:rsidRDefault="00AD1E81" w:rsidP="00AD1E81">
            <w:pPr>
              <w:spacing w:after="0"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47,014.45</w:t>
            </w:r>
          </w:p>
        </w:tc>
      </w:tr>
    </w:tbl>
    <w:p w14:paraId="75E3B872" w14:textId="77777777" w:rsidR="00AA7B52" w:rsidRDefault="00AA7B52" w:rsidP="00AD1E81">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4617558D" w14:textId="62691F54" w:rsidR="00AD1E81" w:rsidRPr="00AD1E81" w:rsidRDefault="00AD1E81" w:rsidP="00AD1E8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b/>
          <w:bCs/>
          <w:kern w:val="0"/>
          <w:sz w:val="24"/>
          <w:szCs w:val="24"/>
          <w14:ligatures w14:val="none"/>
        </w:rPr>
        <w:t>5. Keynote Address by Dr. Rajendra Prasad KC, Secretary, MoFE</w:t>
      </w:r>
    </w:p>
    <w:p w14:paraId="0839DA7E" w14:textId="77777777" w:rsidR="00AD1E81" w:rsidRPr="00AD1E81" w:rsidRDefault="00AD1E81" w:rsidP="00AD1E81">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Dr. Rajendra emphasized Nepal’s strong global positioning in climate finance and stressed that the ERP represents Nepal’s flagship national program for results-based climate action. He highlighted the following:</w:t>
      </w:r>
    </w:p>
    <w:p w14:paraId="2E7FC634"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5.1 Governance and Institutional Strengthening</w:t>
      </w:r>
    </w:p>
    <w:p w14:paraId="76E375BB" w14:textId="77777777" w:rsidR="00AD1E81" w:rsidRPr="00AD1E81" w:rsidRDefault="00AD1E81" w:rsidP="00AD1E81">
      <w:pPr>
        <w:numPr>
          <w:ilvl w:val="0"/>
          <w:numId w:val="36"/>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Provinces must operationalize REDD Desks with clear roles and staff.</w:t>
      </w:r>
    </w:p>
    <w:p w14:paraId="0F2873A8" w14:textId="77777777" w:rsidR="00AD1E81" w:rsidRPr="00AD1E81" w:rsidRDefault="00AD1E81" w:rsidP="00AD1E81">
      <w:pPr>
        <w:numPr>
          <w:ilvl w:val="0"/>
          <w:numId w:val="36"/>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District-level REDD Cells should be functional and linked to REDD IC.</w:t>
      </w:r>
    </w:p>
    <w:p w14:paraId="1DE9BD17" w14:textId="77777777" w:rsidR="00AD1E81" w:rsidRPr="00AD1E81" w:rsidRDefault="00AD1E81" w:rsidP="00AD1E81">
      <w:pPr>
        <w:numPr>
          <w:ilvl w:val="0"/>
          <w:numId w:val="36"/>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Focal Persons are critical for data flow, monitoring, and reporting.</w:t>
      </w:r>
    </w:p>
    <w:p w14:paraId="2B07D2A7"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5.2 Equity and Recipients’ Rights</w:t>
      </w:r>
    </w:p>
    <w:p w14:paraId="66292C74" w14:textId="77777777" w:rsidR="00AD1E81" w:rsidRPr="00AD1E81" w:rsidRDefault="00AD1E81" w:rsidP="00AD1E81">
      <w:pPr>
        <w:numPr>
          <w:ilvl w:val="0"/>
          <w:numId w:val="37"/>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Carbon benefits must prioritize Indigenous Peoples, Dalits, women, forest-dependent poor households, and remote CFUGs.</w:t>
      </w:r>
    </w:p>
    <w:p w14:paraId="549B4B89" w14:textId="77777777" w:rsidR="00AD1E81" w:rsidRPr="00AD1E81" w:rsidRDefault="00AD1E81" w:rsidP="00AD1E81">
      <w:pPr>
        <w:numPr>
          <w:ilvl w:val="0"/>
          <w:numId w:val="37"/>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The BSP must embed equity, inclusion, and customary rights.</w:t>
      </w:r>
    </w:p>
    <w:p w14:paraId="64ADA819"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5.3 Data, MRV, and Verification Quality</w:t>
      </w:r>
    </w:p>
    <w:p w14:paraId="7516C569" w14:textId="77777777" w:rsidR="00AD1E81" w:rsidRPr="00AD1E81" w:rsidRDefault="00AD1E81" w:rsidP="00AD1E81">
      <w:pPr>
        <w:numPr>
          <w:ilvl w:val="0"/>
          <w:numId w:val="38"/>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Districts must ensure accurate data, GIS boundaries, and performance tracking.</w:t>
      </w:r>
    </w:p>
    <w:p w14:paraId="05A0306E" w14:textId="77777777" w:rsidR="00AD1E81" w:rsidRPr="00AD1E81" w:rsidRDefault="00AD1E81" w:rsidP="00AD1E81">
      <w:pPr>
        <w:numPr>
          <w:ilvl w:val="0"/>
          <w:numId w:val="38"/>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Weak documentation continues to be a bottleneck in global REDD+ efforts—Nepal must avoid such issues.</w:t>
      </w:r>
    </w:p>
    <w:p w14:paraId="6D6E92FF"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5.4 Strategic Vision</w:t>
      </w:r>
    </w:p>
    <w:p w14:paraId="460A32D4" w14:textId="77777777" w:rsidR="00AD1E81" w:rsidRPr="00AD1E81" w:rsidRDefault="00AD1E81" w:rsidP="00AD1E81">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ERP should be leveraged to transition Nepal into broader nature-based climate finance, including TFF, LEAF Coalition, and voluntary carbon markets.</w:t>
      </w:r>
    </w:p>
    <w:p w14:paraId="104CC1F7" w14:textId="77777777" w:rsidR="00AD1E81" w:rsidRPr="00AD1E81" w:rsidRDefault="00AD1E81" w:rsidP="00AD1E81">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Provinces and districts must be carbon finance–ready with robust systems.</w:t>
      </w:r>
    </w:p>
    <w:p w14:paraId="6BB9D720"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5.5 Human–Wildlife Conflict (HWC)</w:t>
      </w:r>
    </w:p>
    <w:p w14:paraId="45AC6D4C" w14:textId="15D505CD" w:rsidR="00AD1E81" w:rsidRPr="00AD1E81" w:rsidRDefault="00AD1E81" w:rsidP="00AD1E81">
      <w:pPr>
        <w:numPr>
          <w:ilvl w:val="0"/>
          <w:numId w:val="4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HWC has become a major livelihood and safety concern; </w:t>
      </w:r>
      <w:r w:rsidRPr="00AD1E81">
        <w:rPr>
          <w:rFonts w:ascii="Times New Roman" w:eastAsia="Times New Roman" w:hAnsi="Times New Roman" w:cs="Times New Roman"/>
          <w:b/>
          <w:bCs/>
          <w:kern w:val="0"/>
          <w:sz w:val="24"/>
          <w:szCs w:val="24"/>
          <w14:ligatures w14:val="none"/>
        </w:rPr>
        <w:t>35% of TAL funds</w:t>
      </w:r>
      <w:r w:rsidRPr="00AD1E81">
        <w:rPr>
          <w:rFonts w:ascii="Times New Roman" w:eastAsia="Times New Roman" w:hAnsi="Times New Roman" w:cs="Times New Roman"/>
          <w:kern w:val="0"/>
          <w:sz w:val="24"/>
          <w:szCs w:val="24"/>
          <w14:ligatures w14:val="none"/>
        </w:rPr>
        <w:t xml:space="preserve"> must prioritize mitigation and relief.</w:t>
      </w:r>
    </w:p>
    <w:p w14:paraId="02E9E06B" w14:textId="77777777" w:rsidR="00AD1E81" w:rsidRPr="00AD1E81" w:rsidRDefault="00AD1E81" w:rsidP="00AD1E81">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lastRenderedPageBreak/>
        <w:t>6. Presentations and Technical Sessions</w:t>
      </w:r>
    </w:p>
    <w:p w14:paraId="61531A3F"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6.1 Presentation on the Draft Investment Plan</w:t>
      </w:r>
    </w:p>
    <w:p w14:paraId="4C22D7A0" w14:textId="77777777" w:rsidR="00AD1E81" w:rsidRPr="00AD1E81" w:rsidRDefault="00AD1E81" w:rsidP="00AD1E8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The REDD IC team presented the draft Investment Plan covering:</w:t>
      </w:r>
    </w:p>
    <w:p w14:paraId="6FB705D1" w14:textId="77777777" w:rsidR="00AD1E81" w:rsidRPr="00AD1E81" w:rsidRDefault="00AD1E81" w:rsidP="00AD1E81">
      <w:pPr>
        <w:numPr>
          <w:ilvl w:val="0"/>
          <w:numId w:val="4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Objectives, principles, and planning logic</w:t>
      </w:r>
    </w:p>
    <w:p w14:paraId="5B6703F5" w14:textId="77777777" w:rsidR="00AD1E81" w:rsidRPr="00AD1E81" w:rsidRDefault="00AD1E81" w:rsidP="00AD1E81">
      <w:pPr>
        <w:numPr>
          <w:ilvl w:val="0"/>
          <w:numId w:val="4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Eligible expenditure areas</w:t>
      </w:r>
    </w:p>
    <w:p w14:paraId="1A0FB08A" w14:textId="77777777" w:rsidR="00AD1E81" w:rsidRPr="00AD1E81" w:rsidRDefault="00AD1E81" w:rsidP="00AD1E81">
      <w:pPr>
        <w:numPr>
          <w:ilvl w:val="0"/>
          <w:numId w:val="4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Priority activities such as SFM, bamboo plantations, water recharge ponds, fire management, biodiversity restoration</w:t>
      </w:r>
    </w:p>
    <w:p w14:paraId="66F44C23" w14:textId="77777777" w:rsidR="00AD1E81" w:rsidRPr="00AD1E81" w:rsidRDefault="00AD1E81" w:rsidP="00AD1E81">
      <w:pPr>
        <w:numPr>
          <w:ilvl w:val="0"/>
          <w:numId w:val="4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District-level allocation formulas based on forest area and performance</w:t>
      </w:r>
    </w:p>
    <w:p w14:paraId="4519C8C9" w14:textId="77777777" w:rsidR="00AD1E81" w:rsidRPr="00AD1E81" w:rsidRDefault="00AD1E81" w:rsidP="00AD1E81">
      <w:pPr>
        <w:numPr>
          <w:ilvl w:val="0"/>
          <w:numId w:val="4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Safeguards compliance and monitoring mechanisms</w:t>
      </w:r>
    </w:p>
    <w:p w14:paraId="5B85D4D8" w14:textId="480F1CD7" w:rsidR="00AD1E81" w:rsidRPr="001C1EBF" w:rsidRDefault="00AD1E81" w:rsidP="00AD1E8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Participants provided district-specific feedback on feasibility, geographic priorities, and data accuracy.</w:t>
      </w:r>
    </w:p>
    <w:p w14:paraId="639FAF09" w14:textId="75EE0D83" w:rsidR="00AA7B52" w:rsidRPr="00AD1E81" w:rsidRDefault="00385A1E" w:rsidP="00AD1E8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hAnsi="Times New Roman" w:cs="Times New Roman"/>
          <w:noProof/>
          <w:sz w:val="24"/>
          <w:szCs w:val="24"/>
        </w:rPr>
        <w:drawing>
          <wp:inline distT="0" distB="0" distL="0" distR="0" wp14:anchorId="459F73C5" wp14:editId="6F724D24">
            <wp:extent cx="5651500" cy="3118485"/>
            <wp:effectExtent l="0" t="0" r="6350" b="5715"/>
            <wp:docPr id="2134851451" name="Picture 1" descr="May be an image of television and text that says 'Me INVESTMENTIPLANION INVES INVESTMENT PLAN OF SUAGRPASHCHMPROVINCE HaHиM LOURPASHCHIV P PRO PROVINCE qt PRESENTATION BY Suwash Kunwar Senior forest officer Division Forest Office, Kanchanp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y be an image of television and text that says 'Me INVESTMENTIPLANION INVES INVESTMENT PLAN OF SUAGRPASHCHMPROVINCE HaHиM LOURPASHCHIV P PRO PROVINCE qt PRESENTATION BY Suwash Kunwar Senior forest officer Division Forest Office, Kanchanp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2905" cy="3124778"/>
                    </a:xfrm>
                    <a:prstGeom prst="rect">
                      <a:avLst/>
                    </a:prstGeom>
                    <a:noFill/>
                    <a:ln>
                      <a:noFill/>
                    </a:ln>
                  </pic:spPr>
                </pic:pic>
              </a:graphicData>
            </a:graphic>
          </wp:inline>
        </w:drawing>
      </w:r>
      <w:r w:rsidR="00AA7B52">
        <w:rPr>
          <w:rFonts w:ascii="Times New Roman" w:eastAsia="Times New Roman" w:hAnsi="Times New Roman" w:cs="Times New Roman"/>
          <w:kern w:val="0"/>
          <w:sz w:val="24"/>
          <w:szCs w:val="24"/>
          <w14:ligatures w14:val="none"/>
        </w:rPr>
        <w:br/>
      </w:r>
      <w:r w:rsidR="00AA7B52" w:rsidRPr="00AA7B52">
        <w:rPr>
          <w:rFonts w:ascii="Times New Roman" w:eastAsia="Times New Roman" w:hAnsi="Times New Roman" w:cs="Times New Roman"/>
          <w:b/>
          <w:bCs/>
          <w:i/>
          <w:iCs/>
          <w:kern w:val="0"/>
          <w:sz w:val="24"/>
          <w:szCs w:val="24"/>
          <w14:ligatures w14:val="none"/>
        </w:rPr>
        <w:t xml:space="preserve">Figure 1: Investment Plan </w:t>
      </w:r>
      <w:proofErr w:type="spellStart"/>
      <w:r w:rsidR="00437A84">
        <w:rPr>
          <w:rFonts w:ascii="Times New Roman" w:eastAsia="Times New Roman" w:hAnsi="Times New Roman" w:cs="Times New Roman"/>
          <w:b/>
          <w:bCs/>
          <w:i/>
          <w:iCs/>
          <w:kern w:val="0"/>
          <w:sz w:val="24"/>
          <w:szCs w:val="24"/>
          <w14:ligatures w14:val="none"/>
        </w:rPr>
        <w:t>P</w:t>
      </w:r>
      <w:r w:rsidR="00AA7B52" w:rsidRPr="00AA7B52">
        <w:rPr>
          <w:rFonts w:ascii="Times New Roman" w:eastAsia="Times New Roman" w:hAnsi="Times New Roman" w:cs="Times New Roman"/>
          <w:b/>
          <w:bCs/>
          <w:i/>
          <w:iCs/>
          <w:kern w:val="0"/>
          <w:sz w:val="24"/>
          <w:szCs w:val="24"/>
          <w14:ligatures w14:val="none"/>
        </w:rPr>
        <w:t>owerpoint</w:t>
      </w:r>
      <w:proofErr w:type="spellEnd"/>
      <w:r w:rsidR="00AA7B52" w:rsidRPr="00AA7B52">
        <w:rPr>
          <w:rFonts w:ascii="Times New Roman" w:eastAsia="Times New Roman" w:hAnsi="Times New Roman" w:cs="Times New Roman"/>
          <w:b/>
          <w:bCs/>
          <w:i/>
          <w:iCs/>
          <w:kern w:val="0"/>
          <w:sz w:val="24"/>
          <w:szCs w:val="24"/>
          <w14:ligatures w14:val="none"/>
        </w:rPr>
        <w:t xml:space="preserve"> presentation by </w:t>
      </w:r>
      <w:proofErr w:type="spellStart"/>
      <w:r w:rsidR="00AA7B52" w:rsidRPr="00AA7B52">
        <w:rPr>
          <w:rFonts w:ascii="Times New Roman" w:eastAsia="Times New Roman" w:hAnsi="Times New Roman" w:cs="Times New Roman"/>
          <w:b/>
          <w:bCs/>
          <w:i/>
          <w:iCs/>
          <w:kern w:val="0"/>
          <w:sz w:val="24"/>
          <w:szCs w:val="24"/>
          <w14:ligatures w14:val="none"/>
        </w:rPr>
        <w:t>Sudurpaschim</w:t>
      </w:r>
      <w:proofErr w:type="spellEnd"/>
      <w:r w:rsidR="00AA7B52" w:rsidRPr="00AA7B52">
        <w:rPr>
          <w:rFonts w:ascii="Times New Roman" w:eastAsia="Times New Roman" w:hAnsi="Times New Roman" w:cs="Times New Roman"/>
          <w:b/>
          <w:bCs/>
          <w:i/>
          <w:iCs/>
          <w:kern w:val="0"/>
          <w:sz w:val="24"/>
          <w:szCs w:val="24"/>
          <w14:ligatures w14:val="none"/>
        </w:rPr>
        <w:t xml:space="preserve"> Province participant</w:t>
      </w:r>
    </w:p>
    <w:p w14:paraId="680A3D21" w14:textId="68D0E328" w:rsidR="0066017C" w:rsidRPr="00AD1E81" w:rsidRDefault="00AD1E81" w:rsidP="0066017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b/>
          <w:bCs/>
          <w:kern w:val="0"/>
          <w:sz w:val="24"/>
          <w:szCs w:val="24"/>
          <w14:ligatures w14:val="none"/>
        </w:rPr>
        <w:t>7. Key Discussion Points from Participants</w:t>
      </w:r>
      <w:r w:rsidR="0066017C">
        <w:rPr>
          <w:rFonts w:ascii="Times New Roman" w:eastAsia="Times New Roman" w:hAnsi="Times New Roman" w:cs="Times New Roman"/>
          <w:b/>
          <w:bCs/>
          <w:kern w:val="0"/>
          <w:sz w:val="24"/>
          <w:szCs w:val="24"/>
          <w14:ligatures w14:val="none"/>
        </w:rPr>
        <w:t xml:space="preserve"> </w:t>
      </w:r>
      <w:r w:rsidR="0066017C">
        <w:rPr>
          <w:rFonts w:ascii="Times New Roman" w:eastAsia="Times New Roman" w:hAnsi="Times New Roman" w:cs="Times New Roman"/>
          <w:b/>
          <w:bCs/>
          <w:kern w:val="0"/>
          <w:sz w:val="24"/>
          <w:szCs w:val="24"/>
          <w14:ligatures w14:val="none"/>
        </w:rPr>
        <w:br/>
        <w:t>(</w:t>
      </w:r>
      <w:r w:rsidR="0066017C">
        <w:rPr>
          <w:rFonts w:ascii="Times New Roman" w:eastAsia="Times New Roman" w:hAnsi="Times New Roman" w:cs="Times New Roman"/>
          <w:i/>
          <w:iCs/>
          <w:kern w:val="0"/>
          <w:sz w:val="24"/>
          <w:szCs w:val="24"/>
          <w14:ligatures w14:val="none"/>
        </w:rPr>
        <w:t>I</w:t>
      </w:r>
      <w:r w:rsidR="0066017C" w:rsidRPr="00AD1E81">
        <w:rPr>
          <w:rFonts w:ascii="Times New Roman" w:eastAsia="Times New Roman" w:hAnsi="Times New Roman" w:cs="Times New Roman"/>
          <w:i/>
          <w:iCs/>
          <w:kern w:val="0"/>
          <w:sz w:val="24"/>
          <w:szCs w:val="24"/>
          <w14:ligatures w14:val="none"/>
        </w:rPr>
        <w:t xml:space="preserve">ntegrated </w:t>
      </w:r>
      <w:r w:rsidR="0066017C" w:rsidRPr="001C1EBF">
        <w:rPr>
          <w:rFonts w:ascii="Times New Roman" w:eastAsia="Times New Roman" w:hAnsi="Times New Roman" w:cs="Times New Roman"/>
          <w:i/>
          <w:iCs/>
          <w:kern w:val="0"/>
          <w:sz w:val="24"/>
          <w:szCs w:val="24"/>
          <w14:ligatures w14:val="none"/>
        </w:rPr>
        <w:t>from Meeting minutes</w:t>
      </w:r>
      <w:r w:rsidR="005B7068">
        <w:rPr>
          <w:rFonts w:ascii="Times New Roman" w:eastAsia="Times New Roman" w:hAnsi="Times New Roman" w:cs="Times New Roman"/>
          <w:i/>
          <w:iCs/>
          <w:kern w:val="0"/>
          <w:sz w:val="24"/>
          <w:szCs w:val="24"/>
          <w14:ligatures w14:val="none"/>
        </w:rPr>
        <w:t xml:space="preserve"> </w:t>
      </w:r>
      <w:proofErr w:type="gramStart"/>
      <w:r w:rsidR="005B7068">
        <w:rPr>
          <w:rFonts w:ascii="Times New Roman" w:eastAsia="Times New Roman" w:hAnsi="Times New Roman" w:cs="Times New Roman"/>
          <w:i/>
          <w:iCs/>
          <w:kern w:val="0"/>
          <w:sz w:val="24"/>
          <w:szCs w:val="24"/>
          <w14:ligatures w14:val="none"/>
        </w:rPr>
        <w:t>( in</w:t>
      </w:r>
      <w:proofErr w:type="gramEnd"/>
      <w:r w:rsidR="005B7068">
        <w:rPr>
          <w:rFonts w:ascii="Times New Roman" w:eastAsia="Times New Roman" w:hAnsi="Times New Roman" w:cs="Times New Roman"/>
          <w:i/>
          <w:iCs/>
          <w:kern w:val="0"/>
          <w:sz w:val="24"/>
          <w:szCs w:val="24"/>
          <w14:ligatures w14:val="none"/>
        </w:rPr>
        <w:t xml:space="preserve"> Annex)</w:t>
      </w:r>
      <w:r w:rsidR="0066017C" w:rsidRPr="001C1EBF">
        <w:rPr>
          <w:rFonts w:ascii="Times New Roman" w:eastAsia="Times New Roman" w:hAnsi="Times New Roman" w:cs="Times New Roman"/>
          <w:i/>
          <w:iCs/>
          <w:kern w:val="0"/>
          <w:sz w:val="24"/>
          <w:szCs w:val="24"/>
          <w14:ligatures w14:val="none"/>
        </w:rPr>
        <w:t xml:space="preserve"> and program rapporteur report)</w:t>
      </w:r>
    </w:p>
    <w:p w14:paraId="0858FE43"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7.1 Inclusion and Equity Concerns</w:t>
      </w:r>
    </w:p>
    <w:p w14:paraId="591EF534" w14:textId="77777777" w:rsidR="00AD1E81" w:rsidRPr="00AD1E81" w:rsidRDefault="00AD1E81" w:rsidP="00AD1E81">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CFUGs in remote and historically marginalized clusters must receive dedicated support.</w:t>
      </w:r>
    </w:p>
    <w:p w14:paraId="13B1B3D2" w14:textId="77777777" w:rsidR="00AD1E81" w:rsidRPr="00AD1E81" w:rsidRDefault="00AD1E81" w:rsidP="00AD1E81">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Provinces recommended </w:t>
      </w:r>
      <w:r w:rsidRPr="00AD1E81">
        <w:rPr>
          <w:rFonts w:ascii="Times New Roman" w:eastAsia="Times New Roman" w:hAnsi="Times New Roman" w:cs="Times New Roman"/>
          <w:b/>
          <w:bCs/>
          <w:kern w:val="0"/>
          <w:sz w:val="24"/>
          <w:szCs w:val="24"/>
          <w14:ligatures w14:val="none"/>
        </w:rPr>
        <w:t>performance plus equity weighting</w:t>
      </w:r>
      <w:r w:rsidRPr="00AD1E81">
        <w:rPr>
          <w:rFonts w:ascii="Times New Roman" w:eastAsia="Times New Roman" w:hAnsi="Times New Roman" w:cs="Times New Roman"/>
          <w:kern w:val="0"/>
          <w:sz w:val="24"/>
          <w:szCs w:val="24"/>
          <w14:ligatures w14:val="none"/>
        </w:rPr>
        <w:t xml:space="preserve"> in future carbon payments.</w:t>
      </w:r>
    </w:p>
    <w:p w14:paraId="234C304B"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7.2 Clarification on PAN, taxation, and fund flow</w:t>
      </w:r>
    </w:p>
    <w:p w14:paraId="3CE57F25" w14:textId="77777777" w:rsidR="00AD1E81" w:rsidRPr="00AD1E81" w:rsidRDefault="00AD1E81" w:rsidP="00AD1E81">
      <w:pPr>
        <w:numPr>
          <w:ilvl w:val="0"/>
          <w:numId w:val="4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lastRenderedPageBreak/>
        <w:t>Multiple participants asked how PAN requirements, taxation, and community-level fund flow will be handled.</w:t>
      </w:r>
    </w:p>
    <w:p w14:paraId="4B4B765F" w14:textId="66B5AB4D" w:rsidR="00AD1E81" w:rsidRPr="001C1EBF" w:rsidRDefault="00AD1E81" w:rsidP="00AD1E81">
      <w:pPr>
        <w:numPr>
          <w:ilvl w:val="0"/>
          <w:numId w:val="4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REDD IC agreed to issue </w:t>
      </w:r>
      <w:r w:rsidR="00FA09DB" w:rsidRPr="00AD1E81">
        <w:rPr>
          <w:rFonts w:ascii="Times New Roman" w:eastAsia="Times New Roman" w:hAnsi="Times New Roman" w:cs="Times New Roman"/>
          <w:kern w:val="0"/>
          <w:sz w:val="24"/>
          <w:szCs w:val="24"/>
          <w14:ligatures w14:val="none"/>
        </w:rPr>
        <w:t>simplified financial guidelines</w:t>
      </w:r>
      <w:r w:rsidRPr="00AD1E81">
        <w:rPr>
          <w:rFonts w:ascii="Times New Roman" w:eastAsia="Times New Roman" w:hAnsi="Times New Roman" w:cs="Times New Roman"/>
          <w:b/>
          <w:bCs/>
          <w:kern w:val="0"/>
          <w:sz w:val="24"/>
          <w:szCs w:val="24"/>
          <w14:ligatures w14:val="none"/>
        </w:rPr>
        <w:t xml:space="preserve"> </w:t>
      </w:r>
      <w:r w:rsidR="00FA09DB" w:rsidRPr="00FA09DB">
        <w:rPr>
          <w:rFonts w:ascii="Times New Roman" w:eastAsia="Times New Roman" w:hAnsi="Times New Roman" w:cs="Times New Roman"/>
          <w:kern w:val="0"/>
          <w:sz w:val="24"/>
          <w:szCs w:val="24"/>
          <w14:ligatures w14:val="none"/>
        </w:rPr>
        <w:t>note/memo</w:t>
      </w:r>
      <w:r w:rsidRPr="00AD1E81">
        <w:rPr>
          <w:rFonts w:ascii="Times New Roman" w:eastAsia="Times New Roman" w:hAnsi="Times New Roman" w:cs="Times New Roman"/>
          <w:kern w:val="0"/>
          <w:sz w:val="24"/>
          <w:szCs w:val="24"/>
          <w14:ligatures w14:val="none"/>
        </w:rPr>
        <w:t>.</w:t>
      </w:r>
    </w:p>
    <w:p w14:paraId="290902BD"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7.3 Overlapping Roles of Agencies</w:t>
      </w:r>
    </w:p>
    <w:p w14:paraId="59BAD989" w14:textId="77777777" w:rsidR="00AD1E81" w:rsidRPr="00AD1E81" w:rsidRDefault="00AD1E81" w:rsidP="00385A1E">
      <w:pPr>
        <w:numPr>
          <w:ilvl w:val="0"/>
          <w:numId w:val="44"/>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Provinces noted lack of clarity between Forest Directorate and DFO roles post-federalization.</w:t>
      </w:r>
    </w:p>
    <w:p w14:paraId="7038448B" w14:textId="77777777" w:rsidR="00AD1E81" w:rsidRPr="00AD1E81" w:rsidRDefault="00AD1E81" w:rsidP="00385A1E">
      <w:pPr>
        <w:numPr>
          <w:ilvl w:val="0"/>
          <w:numId w:val="44"/>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Participants requested formal harmonization guidelines.</w:t>
      </w:r>
    </w:p>
    <w:p w14:paraId="39AA784A"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7.4 Need for Field-Level Capacity Building</w:t>
      </w:r>
    </w:p>
    <w:p w14:paraId="5BD58905" w14:textId="77777777" w:rsidR="00AD1E81" w:rsidRPr="00AD1E81" w:rsidRDefault="00AD1E81" w:rsidP="00AD1E81">
      <w:pPr>
        <w:numPr>
          <w:ilvl w:val="0"/>
          <w:numId w:val="4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DFOs require training on MRV, safeguards, and documentation.</w:t>
      </w:r>
    </w:p>
    <w:p w14:paraId="29F6725D" w14:textId="77777777" w:rsidR="00AD1E81" w:rsidRPr="00AD1E81" w:rsidRDefault="00AD1E81" w:rsidP="00AD1E81">
      <w:pPr>
        <w:numPr>
          <w:ilvl w:val="0"/>
          <w:numId w:val="4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DGM Nepal and REDD IC will jointly develop a syllabus.</w:t>
      </w:r>
    </w:p>
    <w:p w14:paraId="6E8E22B0" w14:textId="77777777" w:rsidR="00AD1E81" w:rsidRPr="00AD1E81" w:rsidRDefault="00AD1E81" w:rsidP="00AD1E81">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D1E81">
        <w:rPr>
          <w:rFonts w:ascii="Times New Roman" w:eastAsia="Times New Roman" w:hAnsi="Times New Roman" w:cs="Times New Roman"/>
          <w:b/>
          <w:bCs/>
          <w:kern w:val="0"/>
          <w:sz w:val="24"/>
          <w:szCs w:val="24"/>
          <w14:ligatures w14:val="none"/>
        </w:rPr>
        <w:t>7.5 Local Ecological Priorities</w:t>
      </w:r>
    </w:p>
    <w:p w14:paraId="5DD5B006" w14:textId="77777777" w:rsidR="00AD1E81" w:rsidRPr="00AD1E81" w:rsidRDefault="00AD1E81" w:rsidP="00AD1E81">
      <w:pPr>
        <w:numPr>
          <w:ilvl w:val="0"/>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 xml:space="preserve">Invasive species (Mikania, Lantana, </w:t>
      </w:r>
      <w:proofErr w:type="spellStart"/>
      <w:r w:rsidRPr="00AD1E81">
        <w:rPr>
          <w:rFonts w:ascii="Times New Roman" w:eastAsia="Times New Roman" w:hAnsi="Times New Roman" w:cs="Times New Roman"/>
          <w:kern w:val="0"/>
          <w:sz w:val="24"/>
          <w:szCs w:val="24"/>
          <w14:ligatures w14:val="none"/>
        </w:rPr>
        <w:t>Chromolaena</w:t>
      </w:r>
      <w:proofErr w:type="spellEnd"/>
      <w:r w:rsidRPr="00AD1E81">
        <w:rPr>
          <w:rFonts w:ascii="Times New Roman" w:eastAsia="Times New Roman" w:hAnsi="Times New Roman" w:cs="Times New Roman"/>
          <w:kern w:val="0"/>
          <w:sz w:val="24"/>
          <w:szCs w:val="24"/>
          <w14:ligatures w14:val="none"/>
        </w:rPr>
        <w:t>) need urgent control measures.</w:t>
      </w:r>
    </w:p>
    <w:p w14:paraId="69CEBA35" w14:textId="77777777" w:rsidR="00AD1E81" w:rsidRPr="00AD1E81" w:rsidRDefault="00AD1E81" w:rsidP="00AD1E81">
      <w:pPr>
        <w:numPr>
          <w:ilvl w:val="0"/>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Participants highlighted water scarcity and groundwater depletion.</w:t>
      </w:r>
    </w:p>
    <w:p w14:paraId="0333B2EF" w14:textId="2BCED7C4" w:rsidR="00AD1E81" w:rsidRPr="001C1EBF" w:rsidRDefault="00AD1E81" w:rsidP="00385A1E">
      <w:pPr>
        <w:numPr>
          <w:ilvl w:val="0"/>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D1E81">
        <w:rPr>
          <w:rFonts w:ascii="Times New Roman" w:eastAsia="Times New Roman" w:hAnsi="Times New Roman" w:cs="Times New Roman"/>
          <w:kern w:val="0"/>
          <w:sz w:val="24"/>
          <w:szCs w:val="24"/>
          <w14:ligatures w14:val="none"/>
        </w:rPr>
        <w:t>Wildlife corridors and HWC hotspots should be reflected in district IPs.</w:t>
      </w:r>
    </w:p>
    <w:p w14:paraId="77847CE6" w14:textId="693736C7" w:rsidR="001C1EBF" w:rsidRPr="001C1EBF" w:rsidRDefault="00AA7B52" w:rsidP="001C1EBF">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8</w:t>
      </w:r>
      <w:r w:rsidR="001C1EBF" w:rsidRPr="001C1EBF">
        <w:rPr>
          <w:rFonts w:ascii="Times New Roman" w:eastAsia="Times New Roman" w:hAnsi="Times New Roman" w:cs="Times New Roman"/>
          <w:b/>
          <w:bCs/>
          <w:kern w:val="0"/>
          <w:sz w:val="24"/>
          <w:szCs w:val="24"/>
          <w14:ligatures w14:val="none"/>
        </w:rPr>
        <w:t>. Key Outcomes</w:t>
      </w:r>
    </w:p>
    <w:p w14:paraId="30B87778" w14:textId="7D599215" w:rsidR="001C1EBF" w:rsidRPr="001C1EBF" w:rsidRDefault="00AA7B52" w:rsidP="001C1EBF">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8</w:t>
      </w:r>
      <w:r w:rsidR="001C1EBF" w:rsidRPr="001C1EBF">
        <w:rPr>
          <w:rFonts w:ascii="Times New Roman" w:eastAsia="Times New Roman" w:hAnsi="Times New Roman" w:cs="Times New Roman"/>
          <w:b/>
          <w:bCs/>
          <w:kern w:val="0"/>
          <w:sz w:val="24"/>
          <w:szCs w:val="24"/>
          <w14:ligatures w14:val="none"/>
        </w:rPr>
        <w:t>.1 Improved Shared Understanding</w:t>
      </w:r>
    </w:p>
    <w:p w14:paraId="2FCC106F" w14:textId="77777777" w:rsidR="001C1EBF" w:rsidRPr="001C1EBF" w:rsidRDefault="001C1EBF" w:rsidP="001C1EB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Participants reached a common understanding of:</w:t>
      </w:r>
    </w:p>
    <w:p w14:paraId="429F43FF" w14:textId="77777777" w:rsidR="001C1EBF" w:rsidRPr="001C1EBF" w:rsidRDefault="001C1EBF" w:rsidP="001C1EBF">
      <w:pPr>
        <w:numPr>
          <w:ilvl w:val="0"/>
          <w:numId w:val="6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 xml:space="preserve">The </w:t>
      </w:r>
      <w:r w:rsidRPr="001C1EBF">
        <w:rPr>
          <w:rFonts w:ascii="Times New Roman" w:eastAsia="Times New Roman" w:hAnsi="Times New Roman" w:cs="Times New Roman"/>
          <w:b/>
          <w:bCs/>
          <w:kern w:val="0"/>
          <w:sz w:val="24"/>
          <w:szCs w:val="24"/>
          <w14:ligatures w14:val="none"/>
        </w:rPr>
        <w:t>BSP structure</w:t>
      </w:r>
      <w:r w:rsidRPr="001C1EBF">
        <w:rPr>
          <w:rFonts w:ascii="Times New Roman" w:eastAsia="Times New Roman" w:hAnsi="Times New Roman" w:cs="Times New Roman"/>
          <w:kern w:val="0"/>
          <w:sz w:val="24"/>
          <w:szCs w:val="24"/>
          <w14:ligatures w14:val="none"/>
        </w:rPr>
        <w:t>, performance-based criteria, and verification requirements</w:t>
      </w:r>
    </w:p>
    <w:p w14:paraId="73006706" w14:textId="77777777" w:rsidR="001C1EBF" w:rsidRPr="001C1EBF" w:rsidRDefault="001C1EBF" w:rsidP="001C1EBF">
      <w:pPr>
        <w:numPr>
          <w:ilvl w:val="0"/>
          <w:numId w:val="6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 xml:space="preserve">The </w:t>
      </w:r>
      <w:r w:rsidRPr="001C1EBF">
        <w:rPr>
          <w:rFonts w:ascii="Times New Roman" w:eastAsia="Times New Roman" w:hAnsi="Times New Roman" w:cs="Times New Roman"/>
          <w:b/>
          <w:bCs/>
          <w:kern w:val="0"/>
          <w:sz w:val="24"/>
          <w:szCs w:val="24"/>
          <w14:ligatures w14:val="none"/>
        </w:rPr>
        <w:t>Investment Plan framework</w:t>
      </w:r>
      <w:r w:rsidRPr="001C1EBF">
        <w:rPr>
          <w:rFonts w:ascii="Times New Roman" w:eastAsia="Times New Roman" w:hAnsi="Times New Roman" w:cs="Times New Roman"/>
          <w:kern w:val="0"/>
          <w:sz w:val="24"/>
          <w:szCs w:val="24"/>
          <w14:ligatures w14:val="none"/>
        </w:rPr>
        <w:t xml:space="preserve"> and its alignment with ERPA commitments</w:t>
      </w:r>
    </w:p>
    <w:p w14:paraId="717D45C4" w14:textId="77777777" w:rsidR="001C1EBF" w:rsidRPr="001C1EBF" w:rsidRDefault="001C1EBF" w:rsidP="001C1EBF">
      <w:pPr>
        <w:numPr>
          <w:ilvl w:val="0"/>
          <w:numId w:val="6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Fund flow mechanisms and institutional coordination pathways</w:t>
      </w:r>
    </w:p>
    <w:p w14:paraId="6DEA6251" w14:textId="2F338551" w:rsidR="001C1EBF" w:rsidRPr="001C1EBF" w:rsidRDefault="00AA7B52" w:rsidP="001C1EBF">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8.</w:t>
      </w:r>
      <w:r w:rsidR="001C1EBF" w:rsidRPr="001C1EBF">
        <w:rPr>
          <w:rFonts w:ascii="Times New Roman" w:eastAsia="Times New Roman" w:hAnsi="Times New Roman" w:cs="Times New Roman"/>
          <w:b/>
          <w:bCs/>
          <w:kern w:val="0"/>
          <w:sz w:val="24"/>
          <w:szCs w:val="24"/>
          <w14:ligatures w14:val="none"/>
        </w:rPr>
        <w:t>2 Strengthened Institutional Coordination</w:t>
      </w:r>
    </w:p>
    <w:p w14:paraId="53CAAFD7" w14:textId="77777777" w:rsidR="001C1EBF" w:rsidRPr="001C1EBF" w:rsidRDefault="001C1EBF" w:rsidP="001C1EBF">
      <w:pPr>
        <w:numPr>
          <w:ilvl w:val="0"/>
          <w:numId w:val="6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REDD IC committed to increasing engagement with provincial REDD desks and DFOs.</w:t>
      </w:r>
    </w:p>
    <w:p w14:paraId="21C8B308" w14:textId="77777777" w:rsidR="001C1EBF" w:rsidRPr="001C1EBF" w:rsidRDefault="001C1EBF" w:rsidP="001C1EBF">
      <w:pPr>
        <w:numPr>
          <w:ilvl w:val="0"/>
          <w:numId w:val="6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DGM Nepal to support capacity-building, technical training, and documentation readiness for districts.</w:t>
      </w:r>
    </w:p>
    <w:p w14:paraId="2B891146" w14:textId="7D268F52" w:rsidR="001C1EBF" w:rsidRPr="001C1EBF" w:rsidRDefault="00AA7B52" w:rsidP="001C1EBF">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8</w:t>
      </w:r>
      <w:r w:rsidR="001C1EBF" w:rsidRPr="001C1EBF">
        <w:rPr>
          <w:rFonts w:ascii="Times New Roman" w:eastAsia="Times New Roman" w:hAnsi="Times New Roman" w:cs="Times New Roman"/>
          <w:b/>
          <w:bCs/>
          <w:kern w:val="0"/>
          <w:sz w:val="24"/>
          <w:szCs w:val="24"/>
          <w14:ligatures w14:val="none"/>
        </w:rPr>
        <w:t>.3 District-Level Readiness Enhanced</w:t>
      </w:r>
    </w:p>
    <w:p w14:paraId="44687C54" w14:textId="77777777" w:rsidR="001C1EBF" w:rsidRPr="001C1EBF" w:rsidRDefault="001C1EBF" w:rsidP="001C1EBF">
      <w:pPr>
        <w:numPr>
          <w:ilvl w:val="0"/>
          <w:numId w:val="6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DFOs presented preliminary Investment Plans, demonstrating varying levels of preparedness.</w:t>
      </w:r>
    </w:p>
    <w:p w14:paraId="77766A72" w14:textId="77777777" w:rsidR="001C1EBF" w:rsidRPr="001C1EBF" w:rsidRDefault="001C1EBF" w:rsidP="001C1EBF">
      <w:pPr>
        <w:numPr>
          <w:ilvl w:val="0"/>
          <w:numId w:val="6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Agreement to refine district plans based on safeguard requirements and community priorities.</w:t>
      </w:r>
    </w:p>
    <w:p w14:paraId="14DE7FA4" w14:textId="40ADB4F9" w:rsidR="001C1EBF" w:rsidRPr="001C1EBF" w:rsidRDefault="00AA7B52" w:rsidP="001C1EBF">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8.</w:t>
      </w:r>
      <w:r w:rsidR="001C1EBF" w:rsidRPr="001C1EBF">
        <w:rPr>
          <w:rFonts w:ascii="Times New Roman" w:eastAsia="Times New Roman" w:hAnsi="Times New Roman" w:cs="Times New Roman"/>
          <w:b/>
          <w:bCs/>
          <w:kern w:val="0"/>
          <w:sz w:val="24"/>
          <w:szCs w:val="24"/>
          <w14:ligatures w14:val="none"/>
        </w:rPr>
        <w:t>4 Clearer Stakeholder Roles</w:t>
      </w:r>
    </w:p>
    <w:p w14:paraId="36D38388" w14:textId="77777777" w:rsidR="001C1EBF" w:rsidRPr="001C1EBF" w:rsidRDefault="001C1EBF" w:rsidP="001C1EBF">
      <w:pPr>
        <w:numPr>
          <w:ilvl w:val="0"/>
          <w:numId w:val="6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lastRenderedPageBreak/>
        <w:t>Roles of MoFE, REDD IC, Provincial Ministries, DFOs, CFUGs, and DGM Nepal were clarified for the rollout of BSP and Investment Plan execution.</w:t>
      </w:r>
    </w:p>
    <w:p w14:paraId="5315CAB1" w14:textId="3EE56187" w:rsidR="001C1EBF" w:rsidRPr="001C1EBF" w:rsidRDefault="00AA7B52" w:rsidP="001C1EBF">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9</w:t>
      </w:r>
      <w:r w:rsidR="001C1EBF" w:rsidRPr="001C1EBF">
        <w:rPr>
          <w:rFonts w:ascii="Times New Roman" w:eastAsia="Times New Roman" w:hAnsi="Times New Roman" w:cs="Times New Roman"/>
          <w:b/>
          <w:bCs/>
          <w:kern w:val="0"/>
          <w:sz w:val="24"/>
          <w:szCs w:val="24"/>
          <w14:ligatures w14:val="none"/>
        </w:rPr>
        <w:t>. Recommendations</w:t>
      </w:r>
    </w:p>
    <w:p w14:paraId="060DC2E5" w14:textId="40069912" w:rsidR="001C1EBF" w:rsidRPr="001C1EBF" w:rsidRDefault="00AA7B52" w:rsidP="001C1EBF">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9</w:t>
      </w:r>
      <w:r w:rsidR="001C1EBF" w:rsidRPr="001C1EBF">
        <w:rPr>
          <w:rFonts w:ascii="Times New Roman" w:eastAsia="Times New Roman" w:hAnsi="Times New Roman" w:cs="Times New Roman"/>
          <w:b/>
          <w:bCs/>
          <w:kern w:val="0"/>
          <w:sz w:val="24"/>
          <w:szCs w:val="24"/>
          <w14:ligatures w14:val="none"/>
        </w:rPr>
        <w:t>.1 Strengthen Data and Reporting</w:t>
      </w:r>
    </w:p>
    <w:p w14:paraId="58FA6F75" w14:textId="77777777" w:rsidR="001C1EBF" w:rsidRPr="001C1EBF" w:rsidRDefault="001C1EBF" w:rsidP="001C1EBF">
      <w:pPr>
        <w:numPr>
          <w:ilvl w:val="0"/>
          <w:numId w:val="6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Require evidence-based reporting from DFOs and CFUGs.</w:t>
      </w:r>
    </w:p>
    <w:p w14:paraId="1A92B20C" w14:textId="77777777" w:rsidR="001C1EBF" w:rsidRPr="001C1EBF" w:rsidRDefault="001C1EBF" w:rsidP="001C1EBF">
      <w:pPr>
        <w:numPr>
          <w:ilvl w:val="0"/>
          <w:numId w:val="6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Establish a standardized data inventory capturing inclusion, gender, and Indigenous Peoples’ participation.</w:t>
      </w:r>
    </w:p>
    <w:p w14:paraId="08C54856" w14:textId="09533BEC" w:rsidR="001C1EBF" w:rsidRPr="001C1EBF" w:rsidRDefault="00AA7B52" w:rsidP="001C1EBF">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9</w:t>
      </w:r>
      <w:r w:rsidR="001C1EBF" w:rsidRPr="001C1EBF">
        <w:rPr>
          <w:rFonts w:ascii="Times New Roman" w:eastAsia="Times New Roman" w:hAnsi="Times New Roman" w:cs="Times New Roman"/>
          <w:b/>
          <w:bCs/>
          <w:kern w:val="0"/>
          <w:sz w:val="24"/>
          <w:szCs w:val="24"/>
          <w14:ligatures w14:val="none"/>
        </w:rPr>
        <w:t>.2 Enhance Inclusion and Gender Equity</w:t>
      </w:r>
    </w:p>
    <w:p w14:paraId="1374B3C8" w14:textId="77777777" w:rsidR="001C1EBF" w:rsidRPr="001C1EBF" w:rsidRDefault="001C1EBF" w:rsidP="001C1EBF">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Prioritize women, Indigenous Peoples, Dalits, and marginalized groups in all decision-making and benefit-sharing processes.</w:t>
      </w:r>
    </w:p>
    <w:p w14:paraId="7F21BD65" w14:textId="77777777" w:rsidR="001C1EBF" w:rsidRPr="001C1EBF" w:rsidRDefault="001C1EBF" w:rsidP="001C1EBF">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Increase targeted outreach and representation in future consultations.</w:t>
      </w:r>
    </w:p>
    <w:p w14:paraId="4C6BBF4E" w14:textId="69CDF435" w:rsidR="001C1EBF" w:rsidRPr="001C1EBF" w:rsidRDefault="00AA7B52" w:rsidP="001C1EBF">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9</w:t>
      </w:r>
      <w:r w:rsidR="001C1EBF" w:rsidRPr="001C1EBF">
        <w:rPr>
          <w:rFonts w:ascii="Times New Roman" w:eastAsia="Times New Roman" w:hAnsi="Times New Roman" w:cs="Times New Roman"/>
          <w:b/>
          <w:bCs/>
          <w:kern w:val="0"/>
          <w:sz w:val="24"/>
          <w:szCs w:val="24"/>
          <w14:ligatures w14:val="none"/>
        </w:rPr>
        <w:t>.3 Build District-Level Capacity</w:t>
      </w:r>
    </w:p>
    <w:p w14:paraId="5C96F7AA" w14:textId="77777777" w:rsidR="001C1EBF" w:rsidRPr="001C1EBF" w:rsidRDefault="001C1EBF" w:rsidP="001C1EBF">
      <w:pPr>
        <w:numPr>
          <w:ilvl w:val="0"/>
          <w:numId w:val="6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Deploy dedicated technical focal persons in each TAL district.</w:t>
      </w:r>
    </w:p>
    <w:p w14:paraId="26A816EA" w14:textId="77777777" w:rsidR="001C1EBF" w:rsidRPr="001C1EBF" w:rsidRDefault="001C1EBF" w:rsidP="001C1EBF">
      <w:pPr>
        <w:numPr>
          <w:ilvl w:val="0"/>
          <w:numId w:val="6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Provide training on Investment Plan preparation, safeguards compliance, GIS mapping, and reporting.</w:t>
      </w:r>
    </w:p>
    <w:p w14:paraId="1983E6E7" w14:textId="3658FDB5" w:rsidR="001C1EBF" w:rsidRPr="001C1EBF" w:rsidRDefault="00AA7B52" w:rsidP="001C1EBF">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9</w:t>
      </w:r>
      <w:r w:rsidR="001C1EBF" w:rsidRPr="001C1EBF">
        <w:rPr>
          <w:rFonts w:ascii="Times New Roman" w:eastAsia="Times New Roman" w:hAnsi="Times New Roman" w:cs="Times New Roman"/>
          <w:b/>
          <w:bCs/>
          <w:kern w:val="0"/>
          <w:sz w:val="24"/>
          <w:szCs w:val="24"/>
          <w14:ligatures w14:val="none"/>
        </w:rPr>
        <w:t>.4 Address Administrative Barriers</w:t>
      </w:r>
    </w:p>
    <w:p w14:paraId="743DE1DD" w14:textId="77777777" w:rsidR="001C1EBF" w:rsidRPr="001C1EBF" w:rsidRDefault="001C1EBF" w:rsidP="001C1EBF">
      <w:pPr>
        <w:numPr>
          <w:ilvl w:val="0"/>
          <w:numId w:val="6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 xml:space="preserve">Simplify guidance regarding </w:t>
      </w:r>
      <w:r w:rsidRPr="001C1EBF">
        <w:rPr>
          <w:rFonts w:ascii="Times New Roman" w:eastAsia="Times New Roman" w:hAnsi="Times New Roman" w:cs="Times New Roman"/>
          <w:b/>
          <w:bCs/>
          <w:kern w:val="0"/>
          <w:sz w:val="24"/>
          <w:szCs w:val="24"/>
          <w14:ligatures w14:val="none"/>
        </w:rPr>
        <w:t>PAN number</w:t>
      </w:r>
      <w:r w:rsidRPr="001C1EBF">
        <w:rPr>
          <w:rFonts w:ascii="Times New Roman" w:eastAsia="Times New Roman" w:hAnsi="Times New Roman" w:cs="Times New Roman"/>
          <w:kern w:val="0"/>
          <w:sz w:val="24"/>
          <w:szCs w:val="24"/>
          <w14:ligatures w14:val="none"/>
        </w:rPr>
        <w:t xml:space="preserve"> for CFUGs to ensure they are not excluded from disbursements.</w:t>
      </w:r>
    </w:p>
    <w:p w14:paraId="050ED319" w14:textId="77777777" w:rsidR="001C1EBF" w:rsidRPr="001C1EBF" w:rsidRDefault="001C1EBF" w:rsidP="001C1EBF">
      <w:pPr>
        <w:numPr>
          <w:ilvl w:val="0"/>
          <w:numId w:val="6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Clarify tax implications and provide support through DFOs.</w:t>
      </w:r>
    </w:p>
    <w:p w14:paraId="24C52AA5" w14:textId="0760E8C0" w:rsidR="001C1EBF" w:rsidRPr="001C1EBF" w:rsidRDefault="00AA7B52" w:rsidP="001C1EBF">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9</w:t>
      </w:r>
      <w:r w:rsidR="001C1EBF" w:rsidRPr="001C1EBF">
        <w:rPr>
          <w:rFonts w:ascii="Times New Roman" w:eastAsia="Times New Roman" w:hAnsi="Times New Roman" w:cs="Times New Roman"/>
          <w:b/>
          <w:bCs/>
          <w:kern w:val="0"/>
          <w:sz w:val="24"/>
          <w:szCs w:val="24"/>
          <w14:ligatures w14:val="none"/>
        </w:rPr>
        <w:t>.5 Improve Communication and Coordination</w:t>
      </w:r>
    </w:p>
    <w:p w14:paraId="3B01B723" w14:textId="77777777" w:rsidR="001C1EBF" w:rsidRPr="001C1EBF" w:rsidRDefault="001C1EBF" w:rsidP="001C1EBF">
      <w:pPr>
        <w:numPr>
          <w:ilvl w:val="0"/>
          <w:numId w:val="6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Ensure timely communication to DFOs regarding REDD+ events and consultations.</w:t>
      </w:r>
    </w:p>
    <w:p w14:paraId="4BDB8039" w14:textId="77777777" w:rsidR="001C1EBF" w:rsidRDefault="001C1EBF" w:rsidP="001C1EBF">
      <w:pPr>
        <w:numPr>
          <w:ilvl w:val="0"/>
          <w:numId w:val="6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Strengthen vertical coordination between MoFE, REDD IC, provincial ministries, and local forest offices.</w:t>
      </w:r>
    </w:p>
    <w:p w14:paraId="0702CFC2" w14:textId="77777777" w:rsidR="00131D42" w:rsidRPr="001C1EBF" w:rsidRDefault="00131D42" w:rsidP="00131D4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ED2E1A0" w14:textId="104C764E" w:rsidR="001C1EBF" w:rsidRPr="001C1EBF" w:rsidRDefault="00AA7B52" w:rsidP="001C1EBF">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9</w:t>
      </w:r>
      <w:r w:rsidR="001C1EBF" w:rsidRPr="001C1EBF">
        <w:rPr>
          <w:rFonts w:ascii="Times New Roman" w:eastAsia="Times New Roman" w:hAnsi="Times New Roman" w:cs="Times New Roman"/>
          <w:b/>
          <w:bCs/>
          <w:kern w:val="0"/>
          <w:sz w:val="24"/>
          <w:szCs w:val="24"/>
          <w14:ligatures w14:val="none"/>
        </w:rPr>
        <w:t>.6 Clarify Fund Flow and Governance Mechanisms</w:t>
      </w:r>
    </w:p>
    <w:p w14:paraId="05E61827" w14:textId="77777777" w:rsidR="00AA7B52" w:rsidRPr="00AA7B52" w:rsidRDefault="001C1EBF" w:rsidP="00C61435">
      <w:pPr>
        <w:numPr>
          <w:ilvl w:val="0"/>
          <w:numId w:val="70"/>
        </w:numPr>
        <w:spacing w:before="100" w:beforeAutospacing="1" w:after="100" w:afterAutospacing="1" w:line="240" w:lineRule="auto"/>
      </w:pPr>
      <w:r w:rsidRPr="001C1EBF">
        <w:rPr>
          <w:rFonts w:ascii="Times New Roman" w:eastAsia="Times New Roman" w:hAnsi="Times New Roman" w:cs="Times New Roman"/>
          <w:kern w:val="0"/>
          <w:sz w:val="24"/>
          <w:szCs w:val="24"/>
          <w14:ligatures w14:val="none"/>
        </w:rPr>
        <w:t>Provide a detailed, user-friendly breakdown of the fund flow structure, transaction costs, and performance-based criteria</w:t>
      </w:r>
      <w:r w:rsidR="00AA7B52">
        <w:rPr>
          <w:rFonts w:ascii="Times New Roman" w:eastAsia="Times New Roman" w:hAnsi="Times New Roman" w:cs="Times New Roman"/>
          <w:kern w:val="0"/>
          <w:sz w:val="24"/>
          <w:szCs w:val="24"/>
          <w14:ligatures w14:val="none"/>
        </w:rPr>
        <w:t xml:space="preserve">. </w:t>
      </w:r>
    </w:p>
    <w:p w14:paraId="4FDF390F" w14:textId="78AF07AA" w:rsidR="001C1EBF" w:rsidRPr="001C1EBF" w:rsidRDefault="001C1EBF" w:rsidP="00AA7B52">
      <w:pPr>
        <w:numPr>
          <w:ilvl w:val="0"/>
          <w:numId w:val="70"/>
        </w:numPr>
        <w:spacing w:before="100" w:beforeAutospacing="1" w:after="100" w:afterAutospacing="1" w:line="240" w:lineRule="auto"/>
        <w:jc w:val="both"/>
      </w:pPr>
      <w:r w:rsidRPr="001C1EBF">
        <w:rPr>
          <w:rFonts w:ascii="Times New Roman" w:eastAsia="Times New Roman" w:hAnsi="Times New Roman" w:cs="Times New Roman"/>
          <w:kern w:val="0"/>
          <w:sz w:val="24"/>
          <w:szCs w:val="24"/>
          <w14:ligatures w14:val="none"/>
        </w:rPr>
        <w:t xml:space="preserve">Ensure the LMBIS-based system is fully understood and accessible to district-level </w:t>
      </w:r>
      <w:r w:rsidR="00AA7B52" w:rsidRPr="001C1EBF">
        <w:rPr>
          <w:rFonts w:ascii="Times New Roman" w:eastAsia="Times New Roman" w:hAnsi="Times New Roman" w:cs="Times New Roman"/>
          <w:kern w:val="0"/>
          <w:sz w:val="24"/>
          <w:szCs w:val="24"/>
          <w14:ligatures w14:val="none"/>
        </w:rPr>
        <w:t>counterparts</w:t>
      </w:r>
      <w:r w:rsidR="00AA7B52">
        <w:rPr>
          <w:rFonts w:ascii="Times New Roman" w:eastAsia="Times New Roman" w:hAnsi="Times New Roman" w:cs="Times New Roman"/>
          <w:kern w:val="0"/>
          <w:sz w:val="24"/>
          <w:szCs w:val="24"/>
          <w14:ligatures w14:val="none"/>
        </w:rPr>
        <w:t xml:space="preserve"> </w:t>
      </w:r>
      <w:r w:rsidR="00AA7B52">
        <w:t>to</w:t>
      </w:r>
      <w:r w:rsidR="00AA7B52" w:rsidRPr="00AA7B52">
        <w:rPr>
          <w:rFonts w:ascii="Times New Roman" w:hAnsi="Times New Roman" w:cs="Times New Roman"/>
          <w:sz w:val="24"/>
          <w:szCs w:val="24"/>
        </w:rPr>
        <w:t xml:space="preserve"> manage the </w:t>
      </w:r>
      <w:r w:rsidR="00AA7B52" w:rsidRPr="00AA7B52">
        <w:rPr>
          <w:rStyle w:val="Strong"/>
          <w:rFonts w:ascii="Times New Roman" w:hAnsi="Times New Roman" w:cs="Times New Roman"/>
          <w:sz w:val="24"/>
          <w:szCs w:val="24"/>
        </w:rPr>
        <w:t>disbursement of performance-based payments</w:t>
      </w:r>
      <w:r w:rsidR="00AA7B52" w:rsidRPr="00AA7B52">
        <w:rPr>
          <w:rFonts w:ascii="Times New Roman" w:hAnsi="Times New Roman" w:cs="Times New Roman"/>
          <w:sz w:val="24"/>
          <w:szCs w:val="24"/>
        </w:rPr>
        <w:t xml:space="preserve"> to Community Forest User Groups (CFUGs), Protected Areas, and government-managed forest programs. This also Supports </w:t>
      </w:r>
      <w:r w:rsidR="00AA7B52" w:rsidRPr="00AA7B52">
        <w:rPr>
          <w:rStyle w:val="Strong"/>
          <w:rFonts w:ascii="Times New Roman" w:hAnsi="Times New Roman" w:cs="Times New Roman"/>
          <w:sz w:val="24"/>
          <w:szCs w:val="24"/>
        </w:rPr>
        <w:t>digitization and transparency</w:t>
      </w:r>
      <w:r w:rsidR="00AA7B52" w:rsidRPr="00AA7B52">
        <w:rPr>
          <w:rFonts w:ascii="Times New Roman" w:hAnsi="Times New Roman" w:cs="Times New Roman"/>
          <w:sz w:val="24"/>
          <w:szCs w:val="24"/>
        </w:rPr>
        <w:t xml:space="preserve"> in the benefit-sharing mechanism and can link with GIS-based forest inventory and monitoring systems for evidence-based fund allocation.</w:t>
      </w:r>
    </w:p>
    <w:p w14:paraId="419CDA6D" w14:textId="5CE4EF4A" w:rsidR="001C1EBF" w:rsidRPr="001C1EBF" w:rsidRDefault="00AA7B52" w:rsidP="001C1EBF">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9</w:t>
      </w:r>
      <w:r w:rsidR="001C1EBF" w:rsidRPr="001C1EBF">
        <w:rPr>
          <w:rFonts w:ascii="Times New Roman" w:eastAsia="Times New Roman" w:hAnsi="Times New Roman" w:cs="Times New Roman"/>
          <w:b/>
          <w:bCs/>
          <w:kern w:val="0"/>
          <w:sz w:val="24"/>
          <w:szCs w:val="24"/>
          <w14:ligatures w14:val="none"/>
        </w:rPr>
        <w:t>.7 Support for Passive CFUGs</w:t>
      </w:r>
    </w:p>
    <w:p w14:paraId="3974699B" w14:textId="77777777" w:rsidR="001C1EBF" w:rsidRPr="001C1EBF" w:rsidRDefault="001C1EBF" w:rsidP="001C1EBF">
      <w:pPr>
        <w:numPr>
          <w:ilvl w:val="0"/>
          <w:numId w:val="7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Develop a targeted strategy to activate passive CFUGs through:</w:t>
      </w:r>
    </w:p>
    <w:p w14:paraId="42042943" w14:textId="77777777" w:rsidR="001C1EBF" w:rsidRPr="001C1EBF" w:rsidRDefault="001C1EBF" w:rsidP="001C1EBF">
      <w:pPr>
        <w:numPr>
          <w:ilvl w:val="1"/>
          <w:numId w:val="7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Customary and tenure rights strengthening</w:t>
      </w:r>
    </w:p>
    <w:p w14:paraId="34AFD3E5" w14:textId="77777777" w:rsidR="001C1EBF" w:rsidRPr="001C1EBF" w:rsidRDefault="001C1EBF" w:rsidP="001C1EBF">
      <w:pPr>
        <w:numPr>
          <w:ilvl w:val="1"/>
          <w:numId w:val="7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Enterprise development (36 enterprise categories noted)</w:t>
      </w:r>
    </w:p>
    <w:p w14:paraId="5860C8E3" w14:textId="516FCB30" w:rsidR="001C1EBF" w:rsidRDefault="001C1EBF" w:rsidP="001C1EBF">
      <w:pPr>
        <w:numPr>
          <w:ilvl w:val="1"/>
          <w:numId w:val="7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 xml:space="preserve">Access to concessional loans (7% rate supported through </w:t>
      </w:r>
      <w:r w:rsidR="00AA7B52">
        <w:rPr>
          <w:rFonts w:ascii="Times New Roman" w:eastAsia="Times New Roman" w:hAnsi="Times New Roman" w:cs="Times New Roman"/>
          <w:kern w:val="0"/>
          <w:sz w:val="24"/>
          <w:szCs w:val="24"/>
          <w14:ligatures w14:val="none"/>
        </w:rPr>
        <w:t xml:space="preserve">Forest for Prosperity project, </w:t>
      </w:r>
      <w:proofErr w:type="spellStart"/>
      <w:r w:rsidR="00AA7B52">
        <w:rPr>
          <w:rFonts w:ascii="Times New Roman" w:eastAsia="Times New Roman" w:hAnsi="Times New Roman" w:cs="Times New Roman"/>
          <w:kern w:val="0"/>
          <w:sz w:val="24"/>
          <w:szCs w:val="24"/>
          <w14:ligatures w14:val="none"/>
        </w:rPr>
        <w:t>etc</w:t>
      </w:r>
      <w:proofErr w:type="spellEnd"/>
      <w:r w:rsidR="00AA7B52">
        <w:rPr>
          <w:rFonts w:ascii="Times New Roman" w:eastAsia="Times New Roman" w:hAnsi="Times New Roman" w:cs="Times New Roman"/>
          <w:kern w:val="0"/>
          <w:sz w:val="24"/>
          <w:szCs w:val="24"/>
          <w14:ligatures w14:val="none"/>
        </w:rPr>
        <w:t>)</w:t>
      </w:r>
    </w:p>
    <w:p w14:paraId="349635B3" w14:textId="00F91C93" w:rsidR="0066017C" w:rsidRDefault="0066017C" w:rsidP="001C1EBF">
      <w:pPr>
        <w:numPr>
          <w:ilvl w:val="1"/>
          <w:numId w:val="7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Capacity building activities through DGM Nepal project.</w:t>
      </w:r>
    </w:p>
    <w:p w14:paraId="1103B9BA" w14:textId="57D6BBBE" w:rsidR="00131D42" w:rsidRPr="001C1EBF" w:rsidRDefault="00131D42" w:rsidP="00131D42">
      <w:pPr>
        <w:pStyle w:val="NormalWeb"/>
        <w:rPr>
          <w:rStyle w:val="Strong"/>
        </w:rPr>
      </w:pPr>
      <w:r w:rsidRPr="00131D42">
        <w:rPr>
          <w:b/>
          <w:bCs/>
        </w:rPr>
        <w:t>9.8</w:t>
      </w:r>
      <w:r>
        <w:t xml:space="preserve"> </w:t>
      </w:r>
      <w:r w:rsidRPr="001C1EBF">
        <w:rPr>
          <w:rStyle w:val="Strong"/>
        </w:rPr>
        <w:t>Annual Investment Planning for Emission Reductions</w:t>
      </w:r>
    </w:p>
    <w:p w14:paraId="207BD700" w14:textId="0F805D6C" w:rsidR="00131D42" w:rsidRPr="001C1EBF" w:rsidRDefault="00131D42" w:rsidP="00773F9D">
      <w:pPr>
        <w:pStyle w:val="ListParagraph"/>
        <w:numPr>
          <w:ilvl w:val="0"/>
          <w:numId w:val="6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31D42">
        <w:rPr>
          <w:rFonts w:ascii="Times New Roman" w:eastAsia="Times New Roman" w:hAnsi="Times New Roman" w:cs="Times New Roman"/>
          <w:kern w:val="0"/>
          <w:sz w:val="24"/>
          <w:szCs w:val="24"/>
          <w14:ligatures w14:val="none"/>
        </w:rPr>
        <w:t>District-level Annual Investment Plans must align with ERP priorities and performance-based allocation criteria.</w:t>
      </w:r>
    </w:p>
    <w:p w14:paraId="0352E680" w14:textId="2D5810B3" w:rsidR="001C1EBF" w:rsidRPr="001C1EBF" w:rsidRDefault="0066017C" w:rsidP="001C1EBF">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10</w:t>
      </w:r>
      <w:r w:rsidR="001C1EBF" w:rsidRPr="001C1EBF">
        <w:rPr>
          <w:rFonts w:ascii="Times New Roman" w:eastAsia="Times New Roman" w:hAnsi="Times New Roman" w:cs="Times New Roman"/>
          <w:b/>
          <w:bCs/>
          <w:kern w:val="0"/>
          <w:sz w:val="24"/>
          <w:szCs w:val="24"/>
          <w14:ligatures w14:val="none"/>
        </w:rPr>
        <w:t>. Way Forward</w:t>
      </w:r>
    </w:p>
    <w:p w14:paraId="1E615D05" w14:textId="77777777" w:rsidR="001C1EBF" w:rsidRPr="001C1EBF" w:rsidRDefault="001C1EBF" w:rsidP="001C1EBF">
      <w:pPr>
        <w:numPr>
          <w:ilvl w:val="0"/>
          <w:numId w:val="7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b/>
          <w:bCs/>
          <w:kern w:val="0"/>
          <w:sz w:val="24"/>
          <w:szCs w:val="24"/>
          <w14:ligatures w14:val="none"/>
        </w:rPr>
        <w:t>Consolidate all recommendations</w:t>
      </w:r>
      <w:r w:rsidRPr="001C1EBF">
        <w:rPr>
          <w:rFonts w:ascii="Times New Roman" w:eastAsia="Times New Roman" w:hAnsi="Times New Roman" w:cs="Times New Roman"/>
          <w:kern w:val="0"/>
          <w:sz w:val="24"/>
          <w:szCs w:val="24"/>
          <w14:ligatures w14:val="none"/>
        </w:rPr>
        <w:t xml:space="preserve"> from the seminar into a technical memo for MoFE and REDD IC.</w:t>
      </w:r>
    </w:p>
    <w:p w14:paraId="183A5C37" w14:textId="77777777" w:rsidR="001C1EBF" w:rsidRPr="001C1EBF" w:rsidRDefault="001C1EBF" w:rsidP="001C1EBF">
      <w:pPr>
        <w:numPr>
          <w:ilvl w:val="0"/>
          <w:numId w:val="7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 xml:space="preserve">REDD IC and DGM Nepal will jointly organize </w:t>
      </w:r>
      <w:r w:rsidRPr="001C1EBF">
        <w:rPr>
          <w:rFonts w:ascii="Times New Roman" w:eastAsia="Times New Roman" w:hAnsi="Times New Roman" w:cs="Times New Roman"/>
          <w:b/>
          <w:bCs/>
          <w:kern w:val="0"/>
          <w:sz w:val="24"/>
          <w:szCs w:val="24"/>
          <w14:ligatures w14:val="none"/>
        </w:rPr>
        <w:t>follow-up technical consultations</w:t>
      </w:r>
      <w:r w:rsidRPr="001C1EBF">
        <w:rPr>
          <w:rFonts w:ascii="Times New Roman" w:eastAsia="Times New Roman" w:hAnsi="Times New Roman" w:cs="Times New Roman"/>
          <w:kern w:val="0"/>
          <w:sz w:val="24"/>
          <w:szCs w:val="24"/>
          <w14:ligatures w14:val="none"/>
        </w:rPr>
        <w:t xml:space="preserve"> to refine the district Investment Plans.</w:t>
      </w:r>
    </w:p>
    <w:p w14:paraId="11F07AD5" w14:textId="77777777" w:rsidR="001C1EBF" w:rsidRPr="001C1EBF" w:rsidRDefault="001C1EBF" w:rsidP="001C1EBF">
      <w:pPr>
        <w:numPr>
          <w:ilvl w:val="0"/>
          <w:numId w:val="7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 xml:space="preserve">Develop a </w:t>
      </w:r>
      <w:r w:rsidRPr="001C1EBF">
        <w:rPr>
          <w:rFonts w:ascii="Times New Roman" w:eastAsia="Times New Roman" w:hAnsi="Times New Roman" w:cs="Times New Roman"/>
          <w:b/>
          <w:bCs/>
          <w:kern w:val="0"/>
          <w:sz w:val="24"/>
          <w:szCs w:val="24"/>
          <w14:ligatures w14:val="none"/>
        </w:rPr>
        <w:t>uniform Investment Plan template</w:t>
      </w:r>
      <w:r w:rsidRPr="001C1EBF">
        <w:rPr>
          <w:rFonts w:ascii="Times New Roman" w:eastAsia="Times New Roman" w:hAnsi="Times New Roman" w:cs="Times New Roman"/>
          <w:kern w:val="0"/>
          <w:sz w:val="24"/>
          <w:szCs w:val="24"/>
          <w14:ligatures w14:val="none"/>
        </w:rPr>
        <w:t xml:space="preserve"> based on lessons shared during the seminar.</w:t>
      </w:r>
    </w:p>
    <w:p w14:paraId="51A4F07B" w14:textId="77777777" w:rsidR="001C1EBF" w:rsidRPr="001C1EBF" w:rsidRDefault="001C1EBF" w:rsidP="001C1EBF">
      <w:pPr>
        <w:numPr>
          <w:ilvl w:val="0"/>
          <w:numId w:val="7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Enhance documentation, verification, and social safeguard implementation at all levels.</w:t>
      </w:r>
    </w:p>
    <w:p w14:paraId="3FAA73E1" w14:textId="77777777" w:rsidR="001C1EBF" w:rsidRPr="001C1EBF" w:rsidRDefault="001C1EBF" w:rsidP="001C1EBF">
      <w:pPr>
        <w:numPr>
          <w:ilvl w:val="0"/>
          <w:numId w:val="7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Strengthen the role of provincial REDD desks, improving multilevel governance.</w:t>
      </w:r>
    </w:p>
    <w:p w14:paraId="67837A47" w14:textId="77777777" w:rsidR="00E16835" w:rsidRDefault="00E16835" w:rsidP="001C1EBF">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p>
    <w:p w14:paraId="503A00F9" w14:textId="77777777" w:rsidR="00E16835" w:rsidRDefault="00E16835" w:rsidP="001C1EBF">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p>
    <w:p w14:paraId="029476DE" w14:textId="39F6E849" w:rsidR="001C1EBF" w:rsidRPr="001C1EBF" w:rsidRDefault="001C1EBF" w:rsidP="001C1EBF">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r w:rsidRPr="001C1EBF">
        <w:rPr>
          <w:rFonts w:ascii="Times New Roman" w:eastAsia="Times New Roman" w:hAnsi="Times New Roman" w:cs="Times New Roman"/>
          <w:b/>
          <w:bCs/>
          <w:kern w:val="0"/>
          <w:sz w:val="24"/>
          <w:szCs w:val="24"/>
          <w14:ligatures w14:val="none"/>
        </w:rPr>
        <w:t>1</w:t>
      </w:r>
      <w:r w:rsidR="0066017C">
        <w:rPr>
          <w:rFonts w:ascii="Times New Roman" w:eastAsia="Times New Roman" w:hAnsi="Times New Roman" w:cs="Times New Roman"/>
          <w:b/>
          <w:bCs/>
          <w:kern w:val="0"/>
          <w:sz w:val="24"/>
          <w:szCs w:val="24"/>
          <w14:ligatures w14:val="none"/>
        </w:rPr>
        <w:t>1</w:t>
      </w:r>
      <w:r w:rsidRPr="001C1EBF">
        <w:rPr>
          <w:rFonts w:ascii="Times New Roman" w:eastAsia="Times New Roman" w:hAnsi="Times New Roman" w:cs="Times New Roman"/>
          <w:b/>
          <w:bCs/>
          <w:kern w:val="0"/>
          <w:sz w:val="24"/>
          <w:szCs w:val="24"/>
          <w14:ligatures w14:val="none"/>
        </w:rPr>
        <w:t>. Conclusion</w:t>
      </w:r>
    </w:p>
    <w:p w14:paraId="14A0D9A6" w14:textId="72D6AA5D" w:rsidR="001C1EBF" w:rsidRPr="001C1EBF" w:rsidRDefault="001C1EBF" w:rsidP="0066017C">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 xml:space="preserve">The two-day seminar provided a substantive platform for improving the shared understanding, coordination, and readiness of key stakeholders involved in Nepal’s ERP. The active involvement of MoFE, REDD IC, DFOs, </w:t>
      </w:r>
      <w:r w:rsidR="0066017C">
        <w:rPr>
          <w:rFonts w:ascii="Times New Roman" w:eastAsia="Times New Roman" w:hAnsi="Times New Roman" w:cs="Times New Roman"/>
          <w:kern w:val="0"/>
          <w:sz w:val="24"/>
          <w:szCs w:val="24"/>
          <w14:ligatures w14:val="none"/>
        </w:rPr>
        <w:t>and</w:t>
      </w:r>
      <w:r w:rsidRPr="001C1EBF">
        <w:rPr>
          <w:rFonts w:ascii="Times New Roman" w:eastAsia="Times New Roman" w:hAnsi="Times New Roman" w:cs="Times New Roman"/>
          <w:kern w:val="0"/>
          <w:sz w:val="24"/>
          <w:szCs w:val="24"/>
          <w14:ligatures w14:val="none"/>
        </w:rPr>
        <w:t xml:space="preserve"> DGM Nepal, and the World Bank reflects strong institutional commitment to transparent, equitable, and inclusive benefit-sharing.</w:t>
      </w:r>
    </w:p>
    <w:p w14:paraId="79CA7538" w14:textId="77777777" w:rsidR="001C1EBF" w:rsidRPr="001C1EBF" w:rsidRDefault="001C1EBF" w:rsidP="0066017C">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1C1EBF">
        <w:rPr>
          <w:rFonts w:ascii="Times New Roman" w:eastAsia="Times New Roman" w:hAnsi="Times New Roman" w:cs="Times New Roman"/>
          <w:kern w:val="0"/>
          <w:sz w:val="24"/>
          <w:szCs w:val="24"/>
          <w14:ligatures w14:val="none"/>
        </w:rPr>
        <w:t xml:space="preserve">The recommendations and outcomes from this workshop will play an essential role in shaping the effective implementation of the </w:t>
      </w:r>
      <w:r w:rsidRPr="001C1EBF">
        <w:rPr>
          <w:rFonts w:ascii="Times New Roman" w:eastAsia="Times New Roman" w:hAnsi="Times New Roman" w:cs="Times New Roman"/>
          <w:b/>
          <w:bCs/>
          <w:kern w:val="0"/>
          <w:sz w:val="24"/>
          <w:szCs w:val="24"/>
          <w14:ligatures w14:val="none"/>
        </w:rPr>
        <w:t>Benefit Sharing Plan</w:t>
      </w:r>
      <w:r w:rsidRPr="001C1EBF">
        <w:rPr>
          <w:rFonts w:ascii="Times New Roman" w:eastAsia="Times New Roman" w:hAnsi="Times New Roman" w:cs="Times New Roman"/>
          <w:kern w:val="0"/>
          <w:sz w:val="24"/>
          <w:szCs w:val="24"/>
          <w14:ligatures w14:val="none"/>
        </w:rPr>
        <w:t xml:space="preserve"> and the </w:t>
      </w:r>
      <w:r w:rsidRPr="001C1EBF">
        <w:rPr>
          <w:rFonts w:ascii="Times New Roman" w:eastAsia="Times New Roman" w:hAnsi="Times New Roman" w:cs="Times New Roman"/>
          <w:b/>
          <w:bCs/>
          <w:kern w:val="0"/>
          <w:sz w:val="24"/>
          <w:szCs w:val="24"/>
          <w14:ligatures w14:val="none"/>
        </w:rPr>
        <w:t>Investment Plan</w:t>
      </w:r>
      <w:r w:rsidRPr="001C1EBF">
        <w:rPr>
          <w:rFonts w:ascii="Times New Roman" w:eastAsia="Times New Roman" w:hAnsi="Times New Roman" w:cs="Times New Roman"/>
          <w:kern w:val="0"/>
          <w:sz w:val="24"/>
          <w:szCs w:val="24"/>
          <w14:ligatures w14:val="none"/>
        </w:rPr>
        <w:t>, ensuring carbon revenues reach forest-dependent communities in a fair, efficient, and safeguard-compliant manner.</w:t>
      </w:r>
    </w:p>
    <w:p w14:paraId="18393236" w14:textId="77777777" w:rsidR="00F25EB0" w:rsidRDefault="00F25EB0" w:rsidP="00131D4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7406E16F" w14:textId="26551F09" w:rsidR="00F25EB0" w:rsidRPr="00090F23" w:rsidRDefault="00090F23" w:rsidP="00090F23">
      <w:pPr>
        <w:pStyle w:val="ListParagraph"/>
        <w:numPr>
          <w:ilvl w:val="2"/>
          <w:numId w:val="60"/>
        </w:numPr>
        <w:spacing w:before="100" w:beforeAutospacing="1" w:after="100" w:afterAutospacing="1" w:line="240" w:lineRule="auto"/>
        <w:rPr>
          <w:rFonts w:ascii="Times New Roman" w:eastAsia="Times New Roman" w:hAnsi="Times New Roman" w:cs="Times New Roman"/>
          <w:b/>
          <w:bCs/>
          <w:i/>
          <w:iCs/>
          <w:kern w:val="0"/>
          <w:sz w:val="24"/>
          <w:szCs w:val="24"/>
          <w14:ligatures w14:val="none"/>
        </w:rPr>
      </w:pPr>
      <w:r w:rsidRPr="00090F23">
        <w:rPr>
          <w:rFonts w:ascii="Times New Roman" w:eastAsia="Times New Roman" w:hAnsi="Times New Roman" w:cs="Times New Roman"/>
          <w:b/>
          <w:bCs/>
          <w:i/>
          <w:iCs/>
          <w:kern w:val="0"/>
          <w:sz w:val="24"/>
          <w:szCs w:val="24"/>
          <w14:ligatures w14:val="none"/>
        </w:rPr>
        <w:t xml:space="preserve">The report is jointly prepared by DGM Nepal and REDD Implementation Centre. </w:t>
      </w:r>
    </w:p>
    <w:p w14:paraId="67A56D84" w14:textId="5C444319" w:rsidR="00E16835" w:rsidRDefault="00E16835">
      <w:pP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br w:type="page"/>
      </w:r>
    </w:p>
    <w:p w14:paraId="54AB97DF" w14:textId="50674103" w:rsidR="00131D42" w:rsidRDefault="00131D42" w:rsidP="00131D4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131D42">
        <w:rPr>
          <w:rFonts w:ascii="Times New Roman" w:eastAsia="Times New Roman" w:hAnsi="Times New Roman" w:cs="Times New Roman"/>
          <w:b/>
          <w:bCs/>
          <w:kern w:val="0"/>
          <w:sz w:val="24"/>
          <w:szCs w:val="24"/>
          <w14:ligatures w14:val="none"/>
        </w:rPr>
        <w:lastRenderedPageBreak/>
        <w:t>ANNEX</w:t>
      </w:r>
    </w:p>
    <w:p w14:paraId="3D961B55" w14:textId="77777777" w:rsidR="00131D42" w:rsidRPr="00131D42" w:rsidRDefault="00131D42" w:rsidP="00131D42">
      <w:pPr>
        <w:pStyle w:val="ListParagraph"/>
        <w:numPr>
          <w:ilvl w:val="1"/>
          <w:numId w:val="60"/>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Attendance </w:t>
      </w:r>
    </w:p>
    <w:p w14:paraId="2E6A2166" w14:textId="77777777" w:rsidR="00131D42" w:rsidRDefault="00131D42" w:rsidP="00131D42">
      <w:pPr>
        <w:spacing w:before="100" w:beforeAutospacing="1" w:after="100" w:afterAutospacing="1" w:line="240" w:lineRule="auto"/>
        <w:ind w:left="-540" w:right="-900"/>
        <w:rPr>
          <w:rFonts w:ascii="Times New Roman" w:eastAsia="Times New Roman" w:hAnsi="Times New Roman" w:cs="Times New Roman"/>
          <w:b/>
          <w:bCs/>
          <w:kern w:val="0"/>
          <w:sz w:val="24"/>
          <w:szCs w:val="24"/>
          <w14:ligatures w14:val="none"/>
        </w:rPr>
      </w:pPr>
      <w:r w:rsidRPr="00131D42">
        <w:rPr>
          <w:rFonts w:ascii="Times New Roman" w:eastAsia="Times New Roman" w:hAnsi="Times New Roman" w:cs="Times New Roman"/>
          <w:b/>
          <w:bCs/>
          <w:noProof/>
          <w:kern w:val="0"/>
          <w:sz w:val="24"/>
          <w:szCs w:val="24"/>
          <w14:ligatures w14:val="none"/>
        </w:rPr>
        <w:drawing>
          <wp:inline distT="0" distB="0" distL="0" distR="0" wp14:anchorId="2B492433" wp14:editId="3876F8D3">
            <wp:extent cx="6737350" cy="6280150"/>
            <wp:effectExtent l="0" t="0" r="6350" b="6350"/>
            <wp:docPr id="191874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49006" name=""/>
                    <pic:cNvPicPr/>
                  </pic:nvPicPr>
                  <pic:blipFill>
                    <a:blip r:embed="rId9"/>
                    <a:stretch>
                      <a:fillRect/>
                    </a:stretch>
                  </pic:blipFill>
                  <pic:spPr>
                    <a:xfrm>
                      <a:off x="0" y="0"/>
                      <a:ext cx="6737350" cy="6280150"/>
                    </a:xfrm>
                    <a:prstGeom prst="rect">
                      <a:avLst/>
                    </a:prstGeom>
                  </pic:spPr>
                </pic:pic>
              </a:graphicData>
            </a:graphic>
          </wp:inline>
        </w:drawing>
      </w:r>
    </w:p>
    <w:p w14:paraId="42BEF1F6" w14:textId="77777777" w:rsidR="00131D42" w:rsidRDefault="00131D42" w:rsidP="00131D42">
      <w:pPr>
        <w:spacing w:before="100" w:beforeAutospacing="1" w:after="100" w:afterAutospacing="1" w:line="240" w:lineRule="auto"/>
        <w:ind w:left="-360" w:right="-900"/>
        <w:rPr>
          <w:rFonts w:ascii="Times New Roman" w:eastAsia="Times New Roman" w:hAnsi="Times New Roman" w:cs="Times New Roman"/>
          <w:b/>
          <w:bCs/>
          <w:kern w:val="0"/>
          <w:sz w:val="24"/>
          <w:szCs w:val="24"/>
          <w14:ligatures w14:val="none"/>
        </w:rPr>
      </w:pPr>
      <w:r w:rsidRPr="00131D42">
        <w:rPr>
          <w:rFonts w:ascii="Times New Roman" w:eastAsia="Times New Roman" w:hAnsi="Times New Roman" w:cs="Times New Roman"/>
          <w:b/>
          <w:bCs/>
          <w:noProof/>
          <w:kern w:val="0"/>
          <w:sz w:val="24"/>
          <w:szCs w:val="24"/>
          <w14:ligatures w14:val="none"/>
        </w:rPr>
        <w:lastRenderedPageBreak/>
        <w:drawing>
          <wp:inline distT="0" distB="0" distL="0" distR="0" wp14:anchorId="18895D1B" wp14:editId="1FEB4A3F">
            <wp:extent cx="6635750" cy="8108950"/>
            <wp:effectExtent l="0" t="0" r="0" b="6350"/>
            <wp:docPr id="17970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9695" name=""/>
                    <pic:cNvPicPr/>
                  </pic:nvPicPr>
                  <pic:blipFill>
                    <a:blip r:embed="rId10"/>
                    <a:stretch>
                      <a:fillRect/>
                    </a:stretch>
                  </pic:blipFill>
                  <pic:spPr>
                    <a:xfrm>
                      <a:off x="0" y="0"/>
                      <a:ext cx="6635750" cy="8108950"/>
                    </a:xfrm>
                    <a:prstGeom prst="rect">
                      <a:avLst/>
                    </a:prstGeom>
                  </pic:spPr>
                </pic:pic>
              </a:graphicData>
            </a:graphic>
          </wp:inline>
        </w:drawing>
      </w:r>
    </w:p>
    <w:p w14:paraId="7DACFFAC" w14:textId="77777777" w:rsidR="00131D42" w:rsidRDefault="00131D42" w:rsidP="00131D42">
      <w:pPr>
        <w:spacing w:before="100" w:beforeAutospacing="1" w:after="100" w:afterAutospacing="1" w:line="240" w:lineRule="auto"/>
        <w:ind w:left="-360" w:right="-900"/>
        <w:rPr>
          <w:rFonts w:ascii="Times New Roman" w:eastAsia="Times New Roman" w:hAnsi="Times New Roman" w:cs="Times New Roman"/>
          <w:b/>
          <w:bCs/>
          <w:kern w:val="0"/>
          <w:sz w:val="24"/>
          <w:szCs w:val="24"/>
          <w14:ligatures w14:val="none"/>
        </w:rPr>
      </w:pPr>
      <w:r w:rsidRPr="00131D42">
        <w:rPr>
          <w:rFonts w:ascii="Times New Roman" w:eastAsia="Times New Roman" w:hAnsi="Times New Roman" w:cs="Times New Roman"/>
          <w:b/>
          <w:bCs/>
          <w:noProof/>
          <w:kern w:val="0"/>
          <w:sz w:val="24"/>
          <w:szCs w:val="24"/>
          <w14:ligatures w14:val="none"/>
        </w:rPr>
        <w:lastRenderedPageBreak/>
        <w:drawing>
          <wp:inline distT="0" distB="0" distL="0" distR="0" wp14:anchorId="2E198F6D" wp14:editId="7592DA5E">
            <wp:extent cx="6737350" cy="6013450"/>
            <wp:effectExtent l="0" t="0" r="6350" b="6350"/>
            <wp:docPr id="2055207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07466" name=""/>
                    <pic:cNvPicPr/>
                  </pic:nvPicPr>
                  <pic:blipFill>
                    <a:blip r:embed="rId11"/>
                    <a:stretch>
                      <a:fillRect/>
                    </a:stretch>
                  </pic:blipFill>
                  <pic:spPr>
                    <a:xfrm>
                      <a:off x="0" y="0"/>
                      <a:ext cx="6737350" cy="6013450"/>
                    </a:xfrm>
                    <a:prstGeom prst="rect">
                      <a:avLst/>
                    </a:prstGeom>
                  </pic:spPr>
                </pic:pic>
              </a:graphicData>
            </a:graphic>
          </wp:inline>
        </w:drawing>
      </w:r>
    </w:p>
    <w:p w14:paraId="29E4C7B2" w14:textId="77777777" w:rsidR="00131D42" w:rsidRDefault="00131D42" w:rsidP="00131D42">
      <w:pPr>
        <w:spacing w:before="100" w:beforeAutospacing="1" w:after="100" w:afterAutospacing="1" w:line="240" w:lineRule="auto"/>
        <w:ind w:left="-270" w:right="-900"/>
        <w:rPr>
          <w:rFonts w:ascii="Times New Roman" w:eastAsia="Times New Roman" w:hAnsi="Times New Roman" w:cs="Times New Roman"/>
          <w:b/>
          <w:bCs/>
          <w:kern w:val="0"/>
          <w:sz w:val="24"/>
          <w:szCs w:val="24"/>
          <w14:ligatures w14:val="none"/>
        </w:rPr>
      </w:pPr>
      <w:r w:rsidRPr="00131D42">
        <w:rPr>
          <w:rFonts w:ascii="Times New Roman" w:eastAsia="Times New Roman" w:hAnsi="Times New Roman" w:cs="Times New Roman"/>
          <w:b/>
          <w:bCs/>
          <w:noProof/>
          <w:kern w:val="0"/>
          <w:sz w:val="24"/>
          <w:szCs w:val="24"/>
          <w14:ligatures w14:val="none"/>
        </w:rPr>
        <w:lastRenderedPageBreak/>
        <w:drawing>
          <wp:inline distT="0" distB="0" distL="0" distR="0" wp14:anchorId="1D7FEFAE" wp14:editId="2808A24F">
            <wp:extent cx="6553200" cy="3994785"/>
            <wp:effectExtent l="0" t="0" r="0" b="5715"/>
            <wp:docPr id="4224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01606" name=""/>
                    <pic:cNvPicPr/>
                  </pic:nvPicPr>
                  <pic:blipFill>
                    <a:blip r:embed="rId12"/>
                    <a:stretch>
                      <a:fillRect/>
                    </a:stretch>
                  </pic:blipFill>
                  <pic:spPr>
                    <a:xfrm>
                      <a:off x="0" y="0"/>
                      <a:ext cx="6553200" cy="3994785"/>
                    </a:xfrm>
                    <a:prstGeom prst="rect">
                      <a:avLst/>
                    </a:prstGeom>
                  </pic:spPr>
                </pic:pic>
              </a:graphicData>
            </a:graphic>
          </wp:inline>
        </w:drawing>
      </w:r>
    </w:p>
    <w:p w14:paraId="22511508" w14:textId="77777777" w:rsidR="00131D42" w:rsidRDefault="00131D42" w:rsidP="00131D42">
      <w:pPr>
        <w:spacing w:before="100" w:beforeAutospacing="1" w:after="100" w:afterAutospacing="1" w:line="240" w:lineRule="auto"/>
        <w:ind w:left="-270" w:right="-900"/>
        <w:rPr>
          <w:rFonts w:ascii="Times New Roman" w:eastAsia="Times New Roman" w:hAnsi="Times New Roman" w:cs="Times New Roman"/>
          <w:b/>
          <w:bCs/>
          <w:kern w:val="0"/>
          <w:sz w:val="24"/>
          <w:szCs w:val="24"/>
          <w14:ligatures w14:val="none"/>
        </w:rPr>
      </w:pPr>
      <w:r w:rsidRPr="00131D42">
        <w:rPr>
          <w:rFonts w:ascii="Times New Roman" w:eastAsia="Times New Roman" w:hAnsi="Times New Roman" w:cs="Times New Roman"/>
          <w:b/>
          <w:bCs/>
          <w:noProof/>
          <w:kern w:val="0"/>
          <w:sz w:val="24"/>
          <w:szCs w:val="24"/>
          <w14:ligatures w14:val="none"/>
        </w:rPr>
        <w:drawing>
          <wp:inline distT="0" distB="0" distL="0" distR="0" wp14:anchorId="64B2646D" wp14:editId="137CE232">
            <wp:extent cx="6591300" cy="2529840"/>
            <wp:effectExtent l="0" t="0" r="0" b="3810"/>
            <wp:docPr id="95143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38943" name=""/>
                    <pic:cNvPicPr/>
                  </pic:nvPicPr>
                  <pic:blipFill>
                    <a:blip r:embed="rId13"/>
                    <a:stretch>
                      <a:fillRect/>
                    </a:stretch>
                  </pic:blipFill>
                  <pic:spPr>
                    <a:xfrm>
                      <a:off x="0" y="0"/>
                      <a:ext cx="6591300" cy="2529840"/>
                    </a:xfrm>
                    <a:prstGeom prst="rect">
                      <a:avLst/>
                    </a:prstGeom>
                  </pic:spPr>
                </pic:pic>
              </a:graphicData>
            </a:graphic>
          </wp:inline>
        </w:drawing>
      </w:r>
      <w:r w:rsidRPr="00131D42">
        <w:rPr>
          <w:rFonts w:ascii="Times New Roman" w:eastAsia="Times New Roman" w:hAnsi="Times New Roman" w:cs="Times New Roman"/>
          <w:b/>
          <w:bCs/>
          <w:kern w:val="0"/>
          <w:sz w:val="24"/>
          <w:szCs w:val="24"/>
          <w14:ligatures w14:val="none"/>
        </w:rPr>
        <w:br/>
      </w:r>
    </w:p>
    <w:p w14:paraId="7B50AB6C" w14:textId="77777777" w:rsidR="00131D42" w:rsidRDefault="00131D42" w:rsidP="00131D42">
      <w:pPr>
        <w:spacing w:before="100" w:beforeAutospacing="1" w:after="100" w:afterAutospacing="1" w:line="240" w:lineRule="auto"/>
        <w:ind w:left="-270" w:right="-900"/>
        <w:rPr>
          <w:rFonts w:ascii="Times New Roman" w:eastAsia="Times New Roman" w:hAnsi="Times New Roman" w:cs="Times New Roman"/>
          <w:b/>
          <w:bCs/>
          <w:kern w:val="0"/>
          <w:sz w:val="24"/>
          <w:szCs w:val="24"/>
          <w14:ligatures w14:val="none"/>
        </w:rPr>
      </w:pPr>
    </w:p>
    <w:p w14:paraId="34E28F3B" w14:textId="77777777" w:rsidR="00AC0734" w:rsidRDefault="00AC0734" w:rsidP="00F25EB0">
      <w:pPr>
        <w:spacing w:before="100" w:beforeAutospacing="1" w:after="100" w:afterAutospacing="1" w:line="240" w:lineRule="auto"/>
        <w:ind w:right="-900"/>
        <w:rPr>
          <w:rFonts w:ascii="Times New Roman" w:eastAsia="Times New Roman" w:hAnsi="Times New Roman" w:cs="Times New Roman"/>
          <w:b/>
          <w:bCs/>
          <w:kern w:val="0"/>
          <w:sz w:val="24"/>
          <w:szCs w:val="24"/>
          <w14:ligatures w14:val="none"/>
        </w:rPr>
      </w:pPr>
    </w:p>
    <w:p w14:paraId="209212B2" w14:textId="77777777" w:rsidR="00AC0734" w:rsidRDefault="00AC0734" w:rsidP="00F25EB0">
      <w:pPr>
        <w:spacing w:before="100" w:beforeAutospacing="1" w:after="100" w:afterAutospacing="1" w:line="240" w:lineRule="auto"/>
        <w:ind w:right="-900"/>
        <w:rPr>
          <w:rFonts w:ascii="Times New Roman" w:eastAsia="Times New Roman" w:hAnsi="Times New Roman" w:cs="Times New Roman"/>
          <w:b/>
          <w:bCs/>
          <w:kern w:val="0"/>
          <w:sz w:val="24"/>
          <w:szCs w:val="24"/>
          <w14:ligatures w14:val="none"/>
        </w:rPr>
      </w:pPr>
    </w:p>
    <w:p w14:paraId="2B9C9618" w14:textId="77777777" w:rsidR="00AC0734" w:rsidRDefault="00AC0734" w:rsidP="00F25EB0">
      <w:pPr>
        <w:spacing w:before="100" w:beforeAutospacing="1" w:after="100" w:afterAutospacing="1" w:line="240" w:lineRule="auto"/>
        <w:ind w:right="-900"/>
        <w:rPr>
          <w:rFonts w:ascii="Times New Roman" w:eastAsia="Times New Roman" w:hAnsi="Times New Roman" w:cs="Times New Roman"/>
          <w:b/>
          <w:bCs/>
          <w:kern w:val="0"/>
          <w:sz w:val="24"/>
          <w:szCs w:val="24"/>
          <w14:ligatures w14:val="none"/>
        </w:rPr>
      </w:pPr>
    </w:p>
    <w:p w14:paraId="3115D536" w14:textId="1EE3FE39" w:rsidR="0066017C" w:rsidRPr="00131D42" w:rsidRDefault="00131D42" w:rsidP="00F25EB0">
      <w:pPr>
        <w:spacing w:before="100" w:beforeAutospacing="1" w:after="100" w:afterAutospacing="1" w:line="240" w:lineRule="auto"/>
        <w:ind w:right="-90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2</w:t>
      </w:r>
      <w:r w:rsidRPr="00131D42">
        <w:rPr>
          <w:rFonts w:ascii="Times New Roman" w:eastAsia="Times New Roman" w:hAnsi="Times New Roman" w:cs="Times New Roman"/>
          <w:b/>
          <w:bCs/>
          <w:kern w:val="0"/>
          <w:sz w:val="24"/>
          <w:szCs w:val="24"/>
          <w14:ligatures w14:val="none"/>
        </w:rPr>
        <w:t>. Photos</w:t>
      </w:r>
      <w:r w:rsidR="00AD1E81" w:rsidRPr="00131D42">
        <w:rPr>
          <w:rFonts w:ascii="Times New Roman" w:eastAsia="Times New Roman" w:hAnsi="Times New Roman" w:cs="Times New Roman"/>
          <w:b/>
          <w:bCs/>
          <w:kern w:val="0"/>
          <w:sz w:val="24"/>
          <w:szCs w:val="24"/>
          <w14:ligatures w14:val="none"/>
        </w:rPr>
        <w:t xml:space="preserve"> </w:t>
      </w:r>
    </w:p>
    <w:p w14:paraId="212A2113" w14:textId="6843991C" w:rsidR="0066017C" w:rsidRDefault="0066017C" w:rsidP="0066017C">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Pr>
          <w:noProof/>
          <w:sz w:val="20"/>
        </w:rPr>
        <w:drawing>
          <wp:inline distT="0" distB="0" distL="0" distR="0" wp14:anchorId="0455C4C1" wp14:editId="5B2EFE04">
            <wp:extent cx="6096000" cy="36957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6096798" cy="3696184"/>
                    </a:xfrm>
                    <a:prstGeom prst="rect">
                      <a:avLst/>
                    </a:prstGeom>
                  </pic:spPr>
                </pic:pic>
              </a:graphicData>
            </a:graphic>
          </wp:inline>
        </w:drawing>
      </w:r>
    </w:p>
    <w:p w14:paraId="2553D750" w14:textId="1899DA12" w:rsidR="00F25EB0" w:rsidRDefault="00F25EB0" w:rsidP="00F25EB0">
      <w:pPr>
        <w:tabs>
          <w:tab w:val="left" w:pos="9630"/>
        </w:tabs>
        <w:spacing w:before="100" w:beforeAutospacing="1" w:after="100" w:afterAutospacing="1" w:line="240" w:lineRule="auto"/>
        <w:ind w:right="-360"/>
        <w:jc w:val="both"/>
        <w:rPr>
          <w:rFonts w:ascii="Times New Roman" w:eastAsia="Times New Roman" w:hAnsi="Times New Roman" w:cs="Times New Roman"/>
          <w:kern w:val="0"/>
          <w:sz w:val="24"/>
          <w:szCs w:val="24"/>
          <w14:ligatures w14:val="none"/>
        </w:rPr>
      </w:pPr>
      <w:r>
        <w:rPr>
          <w:noProof/>
        </w:rPr>
        <w:drawing>
          <wp:inline distT="0" distB="0" distL="0" distR="0" wp14:anchorId="32BD96F6" wp14:editId="4AB965C4">
            <wp:extent cx="2695575" cy="3594100"/>
            <wp:effectExtent l="0" t="0" r="9525" b="6350"/>
            <wp:docPr id="1826899579" name="Picture 2" descr="May be an image of dais and text that says 'DGM NEPAL PROJECT AND AND REDD Capacity Buildingi in ACTIVIIES alignment •Forest-Dependent- with ERP overall COORDINATION ICCAPACITY BUILDING related. orientation of REDD+ and DGM Project Forest batawaran and environment proximity closeness to Forest only communities •Inclusive committee committee each districts n targeted project arep Ward chair, members group (Dalit, Women, Youth only) •Buffer zone arcas CFUGs •Passive CFUGs identification (to active) 2. Capacity development training BSPJP for REDD Cell ormation on orientation REDD+ with sp DGM NEPAL CIF' PUNDS SVESTMENT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y be an image of dais and text that says 'DGM NEPAL PROJECT AND AND REDD Capacity Buildingi in ACTIVIIES alignment •Forest-Dependent- with ERP overall COORDINATION ICCAPACITY BUILDING related. orientation of REDD+ and DGM Project Forest batawaran and environment proximity closeness to Forest only communities •Inclusive committee committee each districts n targeted project arep Ward chair, members group (Dalit, Women, Youth only) •Buffer zone arcas CFUGs •Passive CFUGs identification (to active) 2. Capacity development training BSPJP for REDD Cell ormation on orientation REDD+ with sp DGM NEPAL CIF' PUNDS SVESTMENT THE WORL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7819" cy="3597092"/>
                    </a:xfrm>
                    <a:prstGeom prst="rect">
                      <a:avLst/>
                    </a:prstGeom>
                    <a:noFill/>
                    <a:ln>
                      <a:noFill/>
                    </a:ln>
                  </pic:spPr>
                </pic:pic>
              </a:graphicData>
            </a:graphic>
          </wp:inline>
        </w:drawing>
      </w:r>
      <w:r>
        <w:rPr>
          <w:noProof/>
        </w:rPr>
        <w:drawing>
          <wp:inline distT="0" distB="0" distL="0" distR="0" wp14:anchorId="0035EC95" wp14:editId="577C7098">
            <wp:extent cx="3416300" cy="3573853"/>
            <wp:effectExtent l="0" t="0" r="0" b="7620"/>
            <wp:docPr id="1028431775" name="Picture 3" descr="May be an image of text that says 'छल्फलको विषय लगानी योजनाको नमूना वन व्यवस्थापन पदधित अनुसार जिल्लागत वन क्षेत्रफल निर्धारण (सरकारद्वारा व्यवस्थित वन, समुदायमा आधाोरित व्न) जिल्लास्तरमा ड सेलको गठन प्रदेशस्तरीय रेड समन्वय समिति गठन मध्यवर्ती क्षेत्रको रकम बॉडफॉटका सम्बन्धमा साझा धारणा र निकुज्ज कार्यालयको भूमिका लाभांस वितरण योजनाको जानकारी .निजी वन र समृदायमा आधारित वनमा उपभोक्ता नरहेका वनमा आश्रित समुदायको पहिचान एवम् प्राविधिक सहयोगका सम्बन्धमा स्थानीय तहसँगको समन्वय लाभांस वितरण योजना कार्यान्वयन योजनाको तयारीको विषय रेड सेल तथा रेड फोकल पर्सनको क्षमता विका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ay be an image of text that says 'छल्फलको विषय लगानी योजनाको नमूना वन व्यवस्थापन पदधित अनुसार जिल्लागत वन क्षेत्रफल निर्धारण (सरकारद्वारा व्यवस्थित वन, समुदायमा आधाोरित व्न) जिल्लास्तरमा ड सेलको गठन प्रदेशस्तरीय रेड समन्वय समिति गठन मध्यवर्ती क्षेत्रको रकम बॉडफॉटका सम्बन्धमा साझा धारणा र निकुज्ज कार्यालयको भूमिका लाभांस वितरण योजनाको जानकारी .निजी वन र समृदायमा आधारित वनमा उपभोक्ता नरहेका वनमा आश्रित समुदायको पहिचान एवम् प्राविधिक सहयोगका सम्बन्धमा स्थानीय तहसँगको समन्वय लाभांस वितरण योजना कार्यान्वयन योजनाको तयारीको विषय रेड सेल तथा रेड फोकल पर्सनको क्षमता विका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7675" cy="3575291"/>
                    </a:xfrm>
                    <a:prstGeom prst="rect">
                      <a:avLst/>
                    </a:prstGeom>
                    <a:noFill/>
                    <a:ln>
                      <a:noFill/>
                    </a:ln>
                  </pic:spPr>
                </pic:pic>
              </a:graphicData>
            </a:graphic>
          </wp:inline>
        </w:drawing>
      </w:r>
    </w:p>
    <w:p w14:paraId="2074B35A" w14:textId="77777777" w:rsidR="00E16835" w:rsidRDefault="00E16835" w:rsidP="0066017C">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p>
    <w:p w14:paraId="07F9FF19" w14:textId="77777777" w:rsidR="00E16835" w:rsidRDefault="00E16835" w:rsidP="0066017C">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p>
    <w:p w14:paraId="78B3282D" w14:textId="77777777" w:rsidR="00E16835" w:rsidRDefault="00E16835" w:rsidP="0066017C">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p>
    <w:p w14:paraId="081E0376" w14:textId="549BEF3F" w:rsidR="00E16835" w:rsidRDefault="00E16835" w:rsidP="0085764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Pr>
          <w:noProof/>
          <w:sz w:val="20"/>
        </w:rPr>
        <w:drawing>
          <wp:anchor distT="0" distB="0" distL="0" distR="0" simplePos="0" relativeHeight="251661312" behindDoc="1" locked="0" layoutInCell="1" allowOverlap="1" wp14:anchorId="3CE2CFA4" wp14:editId="3D7324A4">
            <wp:simplePos x="0" y="0"/>
            <wp:positionH relativeFrom="margin">
              <wp:posOffset>0</wp:posOffset>
            </wp:positionH>
            <wp:positionV relativeFrom="paragraph">
              <wp:posOffset>19050</wp:posOffset>
            </wp:positionV>
            <wp:extent cx="6339205" cy="3536950"/>
            <wp:effectExtent l="0" t="0" r="4445" b="6350"/>
            <wp:wrapTopAndBottom/>
            <wp:docPr id="6" name="Image 6" descr="A person standing at a podiu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standing at a podium  AI-generated content may be incorrect."/>
                    <pic:cNvPicPr/>
                  </pic:nvPicPr>
                  <pic:blipFill>
                    <a:blip r:embed="rId17" cstate="print"/>
                    <a:stretch>
                      <a:fillRect/>
                    </a:stretch>
                  </pic:blipFill>
                  <pic:spPr>
                    <a:xfrm>
                      <a:off x="0" y="0"/>
                      <a:ext cx="6339205" cy="3536950"/>
                    </a:xfrm>
                    <a:prstGeom prst="rect">
                      <a:avLst/>
                    </a:prstGeom>
                  </pic:spPr>
                </pic:pic>
              </a:graphicData>
            </a:graphic>
            <wp14:sizeRelV relativeFrom="margin">
              <wp14:pctHeight>0</wp14:pctHeight>
            </wp14:sizeRelV>
          </wp:anchor>
        </w:drawing>
      </w:r>
      <w:r>
        <w:rPr>
          <w:noProof/>
          <w:sz w:val="13"/>
        </w:rPr>
        <w:drawing>
          <wp:anchor distT="0" distB="0" distL="0" distR="0" simplePos="0" relativeHeight="251659264" behindDoc="1" locked="0" layoutInCell="1" allowOverlap="1" wp14:anchorId="7B8F54DC" wp14:editId="1E9D1F64">
            <wp:simplePos x="0" y="0"/>
            <wp:positionH relativeFrom="margin">
              <wp:align>left</wp:align>
            </wp:positionH>
            <wp:positionV relativeFrom="paragraph">
              <wp:posOffset>3632200</wp:posOffset>
            </wp:positionV>
            <wp:extent cx="6350000" cy="3340100"/>
            <wp:effectExtent l="0" t="0" r="0" b="0"/>
            <wp:wrapTopAndBottom/>
            <wp:docPr id="8" name="Image 8" descr="A group of people sitting around tabl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oup of people sitting around tables  AI-generated content may be incorrect."/>
                    <pic:cNvPicPr/>
                  </pic:nvPicPr>
                  <pic:blipFill>
                    <a:blip r:embed="rId18" cstate="print"/>
                    <a:stretch>
                      <a:fillRect/>
                    </a:stretch>
                  </pic:blipFill>
                  <pic:spPr>
                    <a:xfrm>
                      <a:off x="0" y="0"/>
                      <a:ext cx="6350000" cy="3340100"/>
                    </a:xfrm>
                    <a:prstGeom prst="rect">
                      <a:avLst/>
                    </a:prstGeom>
                  </pic:spPr>
                </pic:pic>
              </a:graphicData>
            </a:graphic>
            <wp14:sizeRelH relativeFrom="margin">
              <wp14:pctWidth>0</wp14:pctWidth>
            </wp14:sizeRelH>
            <wp14:sizeRelV relativeFrom="margin">
              <wp14:pctHeight>0</wp14:pctHeight>
            </wp14:sizeRelV>
          </wp:anchor>
        </w:drawing>
      </w:r>
    </w:p>
    <w:p w14:paraId="21446D0E" w14:textId="67557A3B" w:rsidR="00831F63" w:rsidRPr="00831F63" w:rsidRDefault="00831F63" w:rsidP="00831F63">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3.</w:t>
      </w:r>
      <w:r w:rsidRPr="00831F63">
        <w:rPr>
          <w:rFonts w:ascii="Times New Roman" w:eastAsia="Times New Roman" w:hAnsi="Times New Roman" w:cs="Times New Roman"/>
          <w:b/>
          <w:bCs/>
          <w:kern w:val="0"/>
          <w:sz w:val="24"/>
          <w:szCs w:val="24"/>
          <w14:ligatures w14:val="none"/>
        </w:rPr>
        <w:t xml:space="preserve">Meeting Minutes </w:t>
      </w:r>
      <w:proofErr w:type="gramStart"/>
      <w:r w:rsidRPr="00831F63">
        <w:rPr>
          <w:rFonts w:ascii="Times New Roman" w:eastAsia="Times New Roman" w:hAnsi="Times New Roman" w:cs="Times New Roman"/>
          <w:b/>
          <w:bCs/>
          <w:kern w:val="0"/>
          <w:sz w:val="24"/>
          <w:szCs w:val="24"/>
          <w14:ligatures w14:val="none"/>
        </w:rPr>
        <w:t>( Of</w:t>
      </w:r>
      <w:proofErr w:type="gramEnd"/>
      <w:r w:rsidRPr="00831F63">
        <w:rPr>
          <w:rFonts w:ascii="Times New Roman" w:eastAsia="Times New Roman" w:hAnsi="Times New Roman" w:cs="Times New Roman"/>
          <w:b/>
          <w:bCs/>
          <w:kern w:val="0"/>
          <w:sz w:val="24"/>
          <w:szCs w:val="24"/>
          <w14:ligatures w14:val="none"/>
        </w:rPr>
        <w:t xml:space="preserve"> REDD IC)</w:t>
      </w:r>
    </w:p>
    <w:sectPr w:rsidR="00831F63" w:rsidRPr="00831F63" w:rsidSect="00E16835">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BFFE5" w14:textId="77777777" w:rsidR="009C74A3" w:rsidRDefault="009C74A3" w:rsidP="00FC47B8">
      <w:pPr>
        <w:spacing w:after="0" w:line="240" w:lineRule="auto"/>
      </w:pPr>
      <w:r>
        <w:separator/>
      </w:r>
    </w:p>
  </w:endnote>
  <w:endnote w:type="continuationSeparator" w:id="0">
    <w:p w14:paraId="70568E17" w14:textId="77777777" w:rsidR="009C74A3" w:rsidRDefault="009C74A3" w:rsidP="00FC4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94548" w14:textId="77777777" w:rsidR="009C74A3" w:rsidRDefault="009C74A3" w:rsidP="00FC47B8">
      <w:pPr>
        <w:spacing w:after="0" w:line="240" w:lineRule="auto"/>
      </w:pPr>
      <w:r>
        <w:separator/>
      </w:r>
    </w:p>
  </w:footnote>
  <w:footnote w:type="continuationSeparator" w:id="0">
    <w:p w14:paraId="1BADC160" w14:textId="77777777" w:rsidR="009C74A3" w:rsidRDefault="009C74A3" w:rsidP="00FC47B8">
      <w:pPr>
        <w:spacing w:after="0" w:line="240" w:lineRule="auto"/>
      </w:pPr>
      <w:r>
        <w:continuationSeparator/>
      </w:r>
    </w:p>
  </w:footnote>
  <w:footnote w:id="1">
    <w:p w14:paraId="5BB1EAD9" w14:textId="357C2B47" w:rsidR="00FC47B8" w:rsidRDefault="00FC47B8">
      <w:pPr>
        <w:pStyle w:val="FootnoteText"/>
      </w:pPr>
      <w:r>
        <w:rPr>
          <w:rStyle w:val="FootnoteReference"/>
        </w:rPr>
        <w:footnoteRef/>
      </w:r>
      <w:r>
        <w:t xml:space="preserve"> Second National REDD+ Strategy (2025–2034) – Ministry of Forests and Environment (MoFE) </w:t>
      </w:r>
      <w:r>
        <w:rPr>
          <w:rStyle w:val="EndnoteReference"/>
        </w:rPr>
        <w:footnoteRef/>
      </w:r>
      <w:r>
        <w:t xml:space="preserve"> </w:t>
      </w:r>
      <w:hyperlink r:id="rId1" w:history="1">
        <w:r>
          <w:rPr>
            <w:rStyle w:val="Hyperlink"/>
          </w:rPr>
          <w:t>Nepal_national_redd_plus_strategy_(2025_2034)(1).pdf</w:t>
        </w:r>
      </w:hyperlink>
    </w:p>
  </w:footnote>
  <w:footnote w:id="2">
    <w:p w14:paraId="342A1ED7" w14:textId="1BAD3D61" w:rsidR="00FC47B8" w:rsidRDefault="00FC47B8">
      <w:pPr>
        <w:pStyle w:val="FootnoteText"/>
      </w:pPr>
      <w:r>
        <w:rPr>
          <w:rStyle w:val="FootnoteReference"/>
        </w:rPr>
        <w:footnoteRef/>
      </w:r>
      <w:r>
        <w:t xml:space="preserve"> </w:t>
      </w:r>
      <w:hyperlink r:id="rId2" w:history="1">
        <w:r>
          <w:rPr>
            <w:rStyle w:val="Hyperlink"/>
          </w:rPr>
          <w:t>Benefit Sharing Plan of Emission Reduction Program, 2022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4757A"/>
    <w:multiLevelType w:val="multilevel"/>
    <w:tmpl w:val="48B6C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544C2"/>
    <w:multiLevelType w:val="multilevel"/>
    <w:tmpl w:val="0EFE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442EE"/>
    <w:multiLevelType w:val="multilevel"/>
    <w:tmpl w:val="C440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759D1"/>
    <w:multiLevelType w:val="multilevel"/>
    <w:tmpl w:val="D58E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D2753"/>
    <w:multiLevelType w:val="multilevel"/>
    <w:tmpl w:val="BB04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6258C"/>
    <w:multiLevelType w:val="multilevel"/>
    <w:tmpl w:val="2562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614E99"/>
    <w:multiLevelType w:val="multilevel"/>
    <w:tmpl w:val="F3B6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E27AE"/>
    <w:multiLevelType w:val="multilevel"/>
    <w:tmpl w:val="0042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F4BE7"/>
    <w:multiLevelType w:val="multilevel"/>
    <w:tmpl w:val="42FC1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237EC"/>
    <w:multiLevelType w:val="multilevel"/>
    <w:tmpl w:val="9C8E6F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3"/>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553529"/>
    <w:multiLevelType w:val="multilevel"/>
    <w:tmpl w:val="3962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76FE4"/>
    <w:multiLevelType w:val="multilevel"/>
    <w:tmpl w:val="75B2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8732B1"/>
    <w:multiLevelType w:val="multilevel"/>
    <w:tmpl w:val="E76A7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BF4F5B"/>
    <w:multiLevelType w:val="multilevel"/>
    <w:tmpl w:val="2BF4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3B77EC"/>
    <w:multiLevelType w:val="multilevel"/>
    <w:tmpl w:val="E840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22CE9"/>
    <w:multiLevelType w:val="multilevel"/>
    <w:tmpl w:val="2BC2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7482C"/>
    <w:multiLevelType w:val="multilevel"/>
    <w:tmpl w:val="F444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10E1F"/>
    <w:multiLevelType w:val="multilevel"/>
    <w:tmpl w:val="E1A0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252CE1"/>
    <w:multiLevelType w:val="multilevel"/>
    <w:tmpl w:val="C34E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32580B"/>
    <w:multiLevelType w:val="multilevel"/>
    <w:tmpl w:val="AC72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04045F"/>
    <w:multiLevelType w:val="multilevel"/>
    <w:tmpl w:val="D814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BB0A9B"/>
    <w:multiLevelType w:val="multilevel"/>
    <w:tmpl w:val="1E4A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E96FB0"/>
    <w:multiLevelType w:val="multilevel"/>
    <w:tmpl w:val="FFF2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776543"/>
    <w:multiLevelType w:val="multilevel"/>
    <w:tmpl w:val="001C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273D8A"/>
    <w:multiLevelType w:val="multilevel"/>
    <w:tmpl w:val="0C4A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1D0063"/>
    <w:multiLevelType w:val="multilevel"/>
    <w:tmpl w:val="FB64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985ADB"/>
    <w:multiLevelType w:val="multilevel"/>
    <w:tmpl w:val="89EE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AC40E0"/>
    <w:multiLevelType w:val="multilevel"/>
    <w:tmpl w:val="1606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B028DE"/>
    <w:multiLevelType w:val="multilevel"/>
    <w:tmpl w:val="EAF6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1A7819"/>
    <w:multiLevelType w:val="multilevel"/>
    <w:tmpl w:val="5266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F93F41"/>
    <w:multiLevelType w:val="multilevel"/>
    <w:tmpl w:val="DC6A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8B0B5C"/>
    <w:multiLevelType w:val="multilevel"/>
    <w:tmpl w:val="16DE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CA3023"/>
    <w:multiLevelType w:val="multilevel"/>
    <w:tmpl w:val="BD72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D71F84"/>
    <w:multiLevelType w:val="multilevel"/>
    <w:tmpl w:val="A38E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8606BD"/>
    <w:multiLevelType w:val="multilevel"/>
    <w:tmpl w:val="5D98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D9780C"/>
    <w:multiLevelType w:val="multilevel"/>
    <w:tmpl w:val="6996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6911D6"/>
    <w:multiLevelType w:val="multilevel"/>
    <w:tmpl w:val="F318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CC73AE"/>
    <w:multiLevelType w:val="multilevel"/>
    <w:tmpl w:val="6230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382214"/>
    <w:multiLevelType w:val="multilevel"/>
    <w:tmpl w:val="04EE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CF369C"/>
    <w:multiLevelType w:val="multilevel"/>
    <w:tmpl w:val="7E7A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E26CEF"/>
    <w:multiLevelType w:val="multilevel"/>
    <w:tmpl w:val="A130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0077B9"/>
    <w:multiLevelType w:val="multilevel"/>
    <w:tmpl w:val="A9DC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C2676A"/>
    <w:multiLevelType w:val="multilevel"/>
    <w:tmpl w:val="2760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BF4C79"/>
    <w:multiLevelType w:val="multilevel"/>
    <w:tmpl w:val="14E8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BC6604"/>
    <w:multiLevelType w:val="multilevel"/>
    <w:tmpl w:val="F2A2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677BA3"/>
    <w:multiLevelType w:val="multilevel"/>
    <w:tmpl w:val="BA32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913E50"/>
    <w:multiLevelType w:val="multilevel"/>
    <w:tmpl w:val="67EAF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70B13C8"/>
    <w:multiLevelType w:val="multilevel"/>
    <w:tmpl w:val="258E2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77443E4"/>
    <w:multiLevelType w:val="multilevel"/>
    <w:tmpl w:val="7BA255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E15CFF"/>
    <w:multiLevelType w:val="multilevel"/>
    <w:tmpl w:val="BBD8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E81204"/>
    <w:multiLevelType w:val="multilevel"/>
    <w:tmpl w:val="C5F8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C9C0516"/>
    <w:multiLevelType w:val="multilevel"/>
    <w:tmpl w:val="B7606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EDE3A41"/>
    <w:multiLevelType w:val="multilevel"/>
    <w:tmpl w:val="297C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E348D5"/>
    <w:multiLevelType w:val="multilevel"/>
    <w:tmpl w:val="B84A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EA33D6"/>
    <w:multiLevelType w:val="multilevel"/>
    <w:tmpl w:val="C590D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C22449"/>
    <w:multiLevelType w:val="multilevel"/>
    <w:tmpl w:val="79E0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1FC5AA2"/>
    <w:multiLevelType w:val="multilevel"/>
    <w:tmpl w:val="77904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34E7DF0"/>
    <w:multiLevelType w:val="multilevel"/>
    <w:tmpl w:val="7124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4F67430"/>
    <w:multiLevelType w:val="multilevel"/>
    <w:tmpl w:val="4E9E7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FF68E0"/>
    <w:multiLevelType w:val="multilevel"/>
    <w:tmpl w:val="42B0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7950AEF"/>
    <w:multiLevelType w:val="multilevel"/>
    <w:tmpl w:val="2DDC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F20D77"/>
    <w:multiLevelType w:val="multilevel"/>
    <w:tmpl w:val="8D48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12F5C53"/>
    <w:multiLevelType w:val="multilevel"/>
    <w:tmpl w:val="2E38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2E87030"/>
    <w:multiLevelType w:val="multilevel"/>
    <w:tmpl w:val="4E32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FF5E54"/>
    <w:multiLevelType w:val="multilevel"/>
    <w:tmpl w:val="2D789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44A084E"/>
    <w:multiLevelType w:val="multilevel"/>
    <w:tmpl w:val="8C4C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1F609E"/>
    <w:multiLevelType w:val="multilevel"/>
    <w:tmpl w:val="BD36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E67C21"/>
    <w:multiLevelType w:val="multilevel"/>
    <w:tmpl w:val="8D14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372F91"/>
    <w:multiLevelType w:val="multilevel"/>
    <w:tmpl w:val="20AC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AA84497"/>
    <w:multiLevelType w:val="multilevel"/>
    <w:tmpl w:val="3D10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D4621A"/>
    <w:multiLevelType w:val="multilevel"/>
    <w:tmpl w:val="B798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02397A"/>
    <w:multiLevelType w:val="multilevel"/>
    <w:tmpl w:val="76FE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7389286">
    <w:abstractNumId w:val="46"/>
  </w:num>
  <w:num w:numId="2" w16cid:durableId="362093945">
    <w:abstractNumId w:val="20"/>
  </w:num>
  <w:num w:numId="3" w16cid:durableId="1169981401">
    <w:abstractNumId w:val="40"/>
  </w:num>
  <w:num w:numId="4" w16cid:durableId="144471624">
    <w:abstractNumId w:val="67"/>
  </w:num>
  <w:num w:numId="5" w16cid:durableId="360595322">
    <w:abstractNumId w:val="63"/>
  </w:num>
  <w:num w:numId="6" w16cid:durableId="1412775375">
    <w:abstractNumId w:val="58"/>
  </w:num>
  <w:num w:numId="7" w16cid:durableId="1024287569">
    <w:abstractNumId w:val="68"/>
  </w:num>
  <w:num w:numId="8" w16cid:durableId="216670947">
    <w:abstractNumId w:val="47"/>
  </w:num>
  <w:num w:numId="9" w16cid:durableId="698429879">
    <w:abstractNumId w:val="11"/>
  </w:num>
  <w:num w:numId="10" w16cid:durableId="1245454177">
    <w:abstractNumId w:val="61"/>
  </w:num>
  <w:num w:numId="11" w16cid:durableId="1511488987">
    <w:abstractNumId w:val="69"/>
  </w:num>
  <w:num w:numId="12" w16cid:durableId="517692923">
    <w:abstractNumId w:val="10"/>
  </w:num>
  <w:num w:numId="13" w16cid:durableId="303972788">
    <w:abstractNumId w:val="23"/>
  </w:num>
  <w:num w:numId="14" w16cid:durableId="34013655">
    <w:abstractNumId w:val="49"/>
  </w:num>
  <w:num w:numId="15" w16cid:durableId="1485850056">
    <w:abstractNumId w:val="22"/>
  </w:num>
  <w:num w:numId="16" w16cid:durableId="1023752106">
    <w:abstractNumId w:val="37"/>
  </w:num>
  <w:num w:numId="17" w16cid:durableId="183136651">
    <w:abstractNumId w:val="29"/>
  </w:num>
  <w:num w:numId="18" w16cid:durableId="196823183">
    <w:abstractNumId w:val="19"/>
  </w:num>
  <w:num w:numId="19" w16cid:durableId="771316036">
    <w:abstractNumId w:val="55"/>
  </w:num>
  <w:num w:numId="20" w16cid:durableId="1065759057">
    <w:abstractNumId w:val="54"/>
  </w:num>
  <w:num w:numId="21" w16cid:durableId="671681615">
    <w:abstractNumId w:val="12"/>
  </w:num>
  <w:num w:numId="22" w16cid:durableId="1293637398">
    <w:abstractNumId w:val="28"/>
  </w:num>
  <w:num w:numId="23" w16cid:durableId="600525722">
    <w:abstractNumId w:val="14"/>
  </w:num>
  <w:num w:numId="24" w16cid:durableId="630214534">
    <w:abstractNumId w:val="2"/>
  </w:num>
  <w:num w:numId="25" w16cid:durableId="1097481055">
    <w:abstractNumId w:val="3"/>
  </w:num>
  <w:num w:numId="26" w16cid:durableId="1607545285">
    <w:abstractNumId w:val="56"/>
  </w:num>
  <w:num w:numId="27" w16cid:durableId="1934435481">
    <w:abstractNumId w:val="1"/>
  </w:num>
  <w:num w:numId="28" w16cid:durableId="1224098441">
    <w:abstractNumId w:val="25"/>
  </w:num>
  <w:num w:numId="29" w16cid:durableId="493228351">
    <w:abstractNumId w:val="27"/>
  </w:num>
  <w:num w:numId="30" w16cid:durableId="496070524">
    <w:abstractNumId w:val="41"/>
  </w:num>
  <w:num w:numId="31" w16cid:durableId="1803376992">
    <w:abstractNumId w:val="33"/>
  </w:num>
  <w:num w:numId="32" w16cid:durableId="645428844">
    <w:abstractNumId w:val="66"/>
  </w:num>
  <w:num w:numId="33" w16cid:durableId="503980704">
    <w:abstractNumId w:val="59"/>
  </w:num>
  <w:num w:numId="34" w16cid:durableId="1719938856">
    <w:abstractNumId w:val="44"/>
  </w:num>
  <w:num w:numId="35" w16cid:durableId="873612391">
    <w:abstractNumId w:val="51"/>
  </w:num>
  <w:num w:numId="36" w16cid:durableId="1645546194">
    <w:abstractNumId w:val="71"/>
  </w:num>
  <w:num w:numId="37" w16cid:durableId="1142816891">
    <w:abstractNumId w:val="45"/>
  </w:num>
  <w:num w:numId="38" w16cid:durableId="74785545">
    <w:abstractNumId w:val="17"/>
  </w:num>
  <w:num w:numId="39" w16cid:durableId="2023511760">
    <w:abstractNumId w:val="36"/>
  </w:num>
  <w:num w:numId="40" w16cid:durableId="314141851">
    <w:abstractNumId w:val="21"/>
  </w:num>
  <w:num w:numId="41" w16cid:durableId="1893468539">
    <w:abstractNumId w:val="30"/>
  </w:num>
  <w:num w:numId="42" w16cid:durableId="1094087796">
    <w:abstractNumId w:val="50"/>
  </w:num>
  <w:num w:numId="43" w16cid:durableId="140968944">
    <w:abstractNumId w:val="35"/>
  </w:num>
  <w:num w:numId="44" w16cid:durableId="1289512184">
    <w:abstractNumId w:val="32"/>
  </w:num>
  <w:num w:numId="45" w16cid:durableId="162551325">
    <w:abstractNumId w:val="38"/>
  </w:num>
  <w:num w:numId="46" w16cid:durableId="1866402508">
    <w:abstractNumId w:val="60"/>
  </w:num>
  <w:num w:numId="47" w16cid:durableId="980382749">
    <w:abstractNumId w:val="48"/>
  </w:num>
  <w:num w:numId="48" w16cid:durableId="1590458620">
    <w:abstractNumId w:val="53"/>
  </w:num>
  <w:num w:numId="49" w16cid:durableId="933634479">
    <w:abstractNumId w:val="24"/>
  </w:num>
  <w:num w:numId="50" w16cid:durableId="562907254">
    <w:abstractNumId w:val="65"/>
  </w:num>
  <w:num w:numId="51" w16cid:durableId="1267152904">
    <w:abstractNumId w:val="16"/>
  </w:num>
  <w:num w:numId="52" w16cid:durableId="544413282">
    <w:abstractNumId w:val="43"/>
  </w:num>
  <w:num w:numId="53" w16cid:durableId="1883127090">
    <w:abstractNumId w:val="62"/>
  </w:num>
  <w:num w:numId="54" w16cid:durableId="64888330">
    <w:abstractNumId w:val="6"/>
  </w:num>
  <w:num w:numId="55" w16cid:durableId="503478028">
    <w:abstractNumId w:val="15"/>
  </w:num>
  <w:num w:numId="56" w16cid:durableId="539826080">
    <w:abstractNumId w:val="57"/>
  </w:num>
  <w:num w:numId="57" w16cid:durableId="767313097">
    <w:abstractNumId w:val="5"/>
  </w:num>
  <w:num w:numId="58" w16cid:durableId="1964194580">
    <w:abstractNumId w:val="4"/>
  </w:num>
  <w:num w:numId="59" w16cid:durableId="2090420749">
    <w:abstractNumId w:val="18"/>
  </w:num>
  <w:num w:numId="60" w16cid:durableId="1836724160">
    <w:abstractNumId w:val="9"/>
  </w:num>
  <w:num w:numId="61" w16cid:durableId="1575124962">
    <w:abstractNumId w:val="52"/>
  </w:num>
  <w:num w:numId="62" w16cid:durableId="299846068">
    <w:abstractNumId w:val="42"/>
  </w:num>
  <w:num w:numId="63" w16cid:durableId="1303467682">
    <w:abstractNumId w:val="26"/>
  </w:num>
  <w:num w:numId="64" w16cid:durableId="297927068">
    <w:abstractNumId w:val="34"/>
  </w:num>
  <w:num w:numId="65" w16cid:durableId="1755711041">
    <w:abstractNumId w:val="70"/>
  </w:num>
  <w:num w:numId="66" w16cid:durableId="1271275907">
    <w:abstractNumId w:val="13"/>
  </w:num>
  <w:num w:numId="67" w16cid:durableId="1155686064">
    <w:abstractNumId w:val="39"/>
  </w:num>
  <w:num w:numId="68" w16cid:durableId="428082425">
    <w:abstractNumId w:val="31"/>
  </w:num>
  <w:num w:numId="69" w16cid:durableId="636185557">
    <w:abstractNumId w:val="0"/>
  </w:num>
  <w:num w:numId="70" w16cid:durableId="1116680889">
    <w:abstractNumId w:val="7"/>
  </w:num>
  <w:num w:numId="71" w16cid:durableId="1885754729">
    <w:abstractNumId w:val="8"/>
  </w:num>
  <w:num w:numId="72" w16cid:durableId="1569684815">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53C"/>
    <w:rsid w:val="00090F23"/>
    <w:rsid w:val="0011245F"/>
    <w:rsid w:val="00131D42"/>
    <w:rsid w:val="001C1EBF"/>
    <w:rsid w:val="002C07C0"/>
    <w:rsid w:val="0031046A"/>
    <w:rsid w:val="003475FF"/>
    <w:rsid w:val="00385A1E"/>
    <w:rsid w:val="00437A84"/>
    <w:rsid w:val="005B7068"/>
    <w:rsid w:val="0066017C"/>
    <w:rsid w:val="007F418C"/>
    <w:rsid w:val="00831F63"/>
    <w:rsid w:val="00857648"/>
    <w:rsid w:val="009616C4"/>
    <w:rsid w:val="0098153C"/>
    <w:rsid w:val="009C74A3"/>
    <w:rsid w:val="00AA7B52"/>
    <w:rsid w:val="00AC0734"/>
    <w:rsid w:val="00AD1E81"/>
    <w:rsid w:val="00CB290D"/>
    <w:rsid w:val="00D31997"/>
    <w:rsid w:val="00E16835"/>
    <w:rsid w:val="00F25EB0"/>
    <w:rsid w:val="00FA09DB"/>
    <w:rsid w:val="00FC47B8"/>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0636C"/>
  <w15:chartTrackingRefBased/>
  <w15:docId w15:val="{8A6CEFB5-1F56-429D-9F07-11E01761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lang w:val="en-US" w:eastAsia="en-US" w:bidi="ne-NP"/>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8153C"/>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98153C"/>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98153C"/>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53C"/>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98153C"/>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98153C"/>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9815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8153C"/>
    <w:rPr>
      <w:b/>
      <w:bCs/>
    </w:rPr>
  </w:style>
  <w:style w:type="character" w:styleId="Emphasis">
    <w:name w:val="Emphasis"/>
    <w:basedOn w:val="DefaultParagraphFont"/>
    <w:uiPriority w:val="20"/>
    <w:qFormat/>
    <w:rsid w:val="0098153C"/>
    <w:rPr>
      <w:i/>
      <w:iCs/>
    </w:rPr>
  </w:style>
  <w:style w:type="paragraph" w:styleId="ListParagraph">
    <w:name w:val="List Paragraph"/>
    <w:basedOn w:val="Normal"/>
    <w:uiPriority w:val="34"/>
    <w:qFormat/>
    <w:rsid w:val="001C1EBF"/>
    <w:pPr>
      <w:ind w:left="720"/>
      <w:contextualSpacing/>
    </w:pPr>
  </w:style>
  <w:style w:type="paragraph" w:styleId="Header">
    <w:name w:val="header"/>
    <w:basedOn w:val="Normal"/>
    <w:link w:val="HeaderChar"/>
    <w:uiPriority w:val="99"/>
    <w:unhideWhenUsed/>
    <w:rsid w:val="00FC4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7B8"/>
  </w:style>
  <w:style w:type="paragraph" w:styleId="Footer">
    <w:name w:val="footer"/>
    <w:basedOn w:val="Normal"/>
    <w:link w:val="FooterChar"/>
    <w:uiPriority w:val="99"/>
    <w:unhideWhenUsed/>
    <w:rsid w:val="00FC4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7B8"/>
  </w:style>
  <w:style w:type="character" w:styleId="Hyperlink">
    <w:name w:val="Hyperlink"/>
    <w:basedOn w:val="DefaultParagraphFont"/>
    <w:uiPriority w:val="99"/>
    <w:semiHidden/>
    <w:unhideWhenUsed/>
    <w:rsid w:val="00FC47B8"/>
    <w:rPr>
      <w:color w:val="0000FF"/>
      <w:u w:val="single"/>
    </w:rPr>
  </w:style>
  <w:style w:type="paragraph" w:styleId="EndnoteText">
    <w:name w:val="endnote text"/>
    <w:basedOn w:val="Normal"/>
    <w:link w:val="EndnoteTextChar"/>
    <w:uiPriority w:val="99"/>
    <w:semiHidden/>
    <w:unhideWhenUsed/>
    <w:rsid w:val="00FC47B8"/>
    <w:pPr>
      <w:spacing w:after="0" w:line="240" w:lineRule="auto"/>
    </w:pPr>
    <w:rPr>
      <w:sz w:val="20"/>
      <w:szCs w:val="18"/>
    </w:rPr>
  </w:style>
  <w:style w:type="character" w:customStyle="1" w:styleId="EndnoteTextChar">
    <w:name w:val="Endnote Text Char"/>
    <w:basedOn w:val="DefaultParagraphFont"/>
    <w:link w:val="EndnoteText"/>
    <w:uiPriority w:val="99"/>
    <w:semiHidden/>
    <w:rsid w:val="00FC47B8"/>
    <w:rPr>
      <w:sz w:val="20"/>
      <w:szCs w:val="18"/>
    </w:rPr>
  </w:style>
  <w:style w:type="character" w:styleId="EndnoteReference">
    <w:name w:val="endnote reference"/>
    <w:basedOn w:val="DefaultParagraphFont"/>
    <w:uiPriority w:val="99"/>
    <w:semiHidden/>
    <w:unhideWhenUsed/>
    <w:rsid w:val="00FC47B8"/>
    <w:rPr>
      <w:vertAlign w:val="superscript"/>
    </w:rPr>
  </w:style>
  <w:style w:type="paragraph" w:styleId="FootnoteText">
    <w:name w:val="footnote text"/>
    <w:basedOn w:val="Normal"/>
    <w:link w:val="FootnoteTextChar"/>
    <w:uiPriority w:val="99"/>
    <w:semiHidden/>
    <w:unhideWhenUsed/>
    <w:rsid w:val="00FC47B8"/>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FC47B8"/>
    <w:rPr>
      <w:sz w:val="20"/>
      <w:szCs w:val="18"/>
    </w:rPr>
  </w:style>
  <w:style w:type="character" w:styleId="FootnoteReference">
    <w:name w:val="footnote reference"/>
    <w:basedOn w:val="DefaultParagraphFont"/>
    <w:uiPriority w:val="99"/>
    <w:semiHidden/>
    <w:unhideWhenUsed/>
    <w:rsid w:val="00FC47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99163">
      <w:bodyDiv w:val="1"/>
      <w:marLeft w:val="0"/>
      <w:marRight w:val="0"/>
      <w:marTop w:val="0"/>
      <w:marBottom w:val="0"/>
      <w:divBdr>
        <w:top w:val="none" w:sz="0" w:space="0" w:color="auto"/>
        <w:left w:val="none" w:sz="0" w:space="0" w:color="auto"/>
        <w:bottom w:val="none" w:sz="0" w:space="0" w:color="auto"/>
        <w:right w:val="none" w:sz="0" w:space="0" w:color="auto"/>
      </w:divBdr>
    </w:div>
    <w:div w:id="230166656">
      <w:bodyDiv w:val="1"/>
      <w:marLeft w:val="0"/>
      <w:marRight w:val="0"/>
      <w:marTop w:val="0"/>
      <w:marBottom w:val="0"/>
      <w:divBdr>
        <w:top w:val="none" w:sz="0" w:space="0" w:color="auto"/>
        <w:left w:val="none" w:sz="0" w:space="0" w:color="auto"/>
        <w:bottom w:val="none" w:sz="0" w:space="0" w:color="auto"/>
        <w:right w:val="none" w:sz="0" w:space="0" w:color="auto"/>
      </w:divBdr>
    </w:div>
    <w:div w:id="577327805">
      <w:bodyDiv w:val="1"/>
      <w:marLeft w:val="0"/>
      <w:marRight w:val="0"/>
      <w:marTop w:val="0"/>
      <w:marBottom w:val="0"/>
      <w:divBdr>
        <w:top w:val="none" w:sz="0" w:space="0" w:color="auto"/>
        <w:left w:val="none" w:sz="0" w:space="0" w:color="auto"/>
        <w:bottom w:val="none" w:sz="0" w:space="0" w:color="auto"/>
        <w:right w:val="none" w:sz="0" w:space="0" w:color="auto"/>
      </w:divBdr>
    </w:div>
    <w:div w:id="695425417">
      <w:bodyDiv w:val="1"/>
      <w:marLeft w:val="0"/>
      <w:marRight w:val="0"/>
      <w:marTop w:val="0"/>
      <w:marBottom w:val="0"/>
      <w:divBdr>
        <w:top w:val="none" w:sz="0" w:space="0" w:color="auto"/>
        <w:left w:val="none" w:sz="0" w:space="0" w:color="auto"/>
        <w:bottom w:val="none" w:sz="0" w:space="0" w:color="auto"/>
        <w:right w:val="none" w:sz="0" w:space="0" w:color="auto"/>
      </w:divBdr>
    </w:div>
    <w:div w:id="834224394">
      <w:bodyDiv w:val="1"/>
      <w:marLeft w:val="0"/>
      <w:marRight w:val="0"/>
      <w:marTop w:val="0"/>
      <w:marBottom w:val="0"/>
      <w:divBdr>
        <w:top w:val="none" w:sz="0" w:space="0" w:color="auto"/>
        <w:left w:val="none" w:sz="0" w:space="0" w:color="auto"/>
        <w:bottom w:val="none" w:sz="0" w:space="0" w:color="auto"/>
        <w:right w:val="none" w:sz="0" w:space="0" w:color="auto"/>
      </w:divBdr>
    </w:div>
    <w:div w:id="1055472418">
      <w:bodyDiv w:val="1"/>
      <w:marLeft w:val="0"/>
      <w:marRight w:val="0"/>
      <w:marTop w:val="0"/>
      <w:marBottom w:val="0"/>
      <w:divBdr>
        <w:top w:val="none" w:sz="0" w:space="0" w:color="auto"/>
        <w:left w:val="none" w:sz="0" w:space="0" w:color="auto"/>
        <w:bottom w:val="none" w:sz="0" w:space="0" w:color="auto"/>
        <w:right w:val="none" w:sz="0" w:space="0" w:color="auto"/>
      </w:divBdr>
    </w:div>
    <w:div w:id="1115977160">
      <w:bodyDiv w:val="1"/>
      <w:marLeft w:val="0"/>
      <w:marRight w:val="0"/>
      <w:marTop w:val="0"/>
      <w:marBottom w:val="0"/>
      <w:divBdr>
        <w:top w:val="none" w:sz="0" w:space="0" w:color="auto"/>
        <w:left w:val="none" w:sz="0" w:space="0" w:color="auto"/>
        <w:bottom w:val="none" w:sz="0" w:space="0" w:color="auto"/>
        <w:right w:val="none" w:sz="0" w:space="0" w:color="auto"/>
      </w:divBdr>
    </w:div>
    <w:div w:id="1479104214">
      <w:bodyDiv w:val="1"/>
      <w:marLeft w:val="0"/>
      <w:marRight w:val="0"/>
      <w:marTop w:val="0"/>
      <w:marBottom w:val="0"/>
      <w:divBdr>
        <w:top w:val="none" w:sz="0" w:space="0" w:color="auto"/>
        <w:left w:val="none" w:sz="0" w:space="0" w:color="auto"/>
        <w:bottom w:val="none" w:sz="0" w:space="0" w:color="auto"/>
        <w:right w:val="none" w:sz="0" w:space="0" w:color="auto"/>
      </w:divBdr>
    </w:div>
    <w:div w:id="1649284670">
      <w:bodyDiv w:val="1"/>
      <w:marLeft w:val="0"/>
      <w:marRight w:val="0"/>
      <w:marTop w:val="0"/>
      <w:marBottom w:val="0"/>
      <w:divBdr>
        <w:top w:val="none" w:sz="0" w:space="0" w:color="auto"/>
        <w:left w:val="none" w:sz="0" w:space="0" w:color="auto"/>
        <w:bottom w:val="none" w:sz="0" w:space="0" w:color="auto"/>
        <w:right w:val="none" w:sz="0" w:space="0" w:color="auto"/>
      </w:divBdr>
    </w:div>
    <w:div w:id="195247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s://www.redd.gov.np/post/benefit-sharing-plan-of-emission-reduction-program-2022-1?utm_source=chatgpt.com" TargetMode="External"/><Relationship Id="rId1" Type="http://schemas.openxmlformats.org/officeDocument/2006/relationships/hyperlink" Target="https://redd.gov.np/upload/e66443e81e8cc9c4fa5c099a1fb1bb87/files/Nepal_national_redd_plus_strategy_(2025_2034)(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D47B7-3BE2-4B1E-883A-8BA9F17D5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14</Pages>
  <Words>1943</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Sadhana Limbu</dc:creator>
  <cp:keywords/>
  <dc:description/>
  <cp:lastModifiedBy>Sadhana Limbu</cp:lastModifiedBy>
  <cp:revision>10</cp:revision>
  <dcterms:created xsi:type="dcterms:W3CDTF">2025-11-28T06:28:00Z</dcterms:created>
  <dcterms:modified xsi:type="dcterms:W3CDTF">2025-12-02T06:03:00Z</dcterms:modified>
</cp:coreProperties>
</file>